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olor w:val="auto"/>
          <w:sz w:val="72"/>
          <w:szCs w:val="72"/>
        </w:rPr>
      </w:pPr>
      <w:bookmarkStart w:id="0" w:name="t2"/>
      <w:bookmarkStart w:id="1" w:name="_Toc536607955"/>
      <w:bookmarkStart w:id="2" w:name="_Toc536591124"/>
      <w:r>
        <w:rPr>
          <w:rFonts w:hint="eastAsia" w:ascii="方正小标宋简体" w:hAnsi="方正小标宋简体" w:eastAsia="方正小标宋简体"/>
          <w:color w:val="auto"/>
          <w:sz w:val="72"/>
          <w:szCs w:val="72"/>
        </w:rPr>
        <w:t>石家庄财经商贸学校</w:t>
      </w:r>
    </w:p>
    <w:p>
      <w:pPr>
        <w:jc w:val="center"/>
        <w:rPr>
          <w:rFonts w:ascii="方正小标宋简体" w:hAnsi="方正小标宋简体" w:eastAsia="方正小标宋简体"/>
          <w:color w:val="auto"/>
          <w:sz w:val="72"/>
          <w:szCs w:val="72"/>
        </w:rPr>
      </w:pPr>
      <w:r>
        <w:rPr>
          <w:rFonts w:hint="eastAsia" w:ascii="方正小标宋简体" w:hAnsi="方正小标宋简体" w:eastAsia="方正小标宋简体"/>
          <w:color w:val="auto"/>
          <w:sz w:val="72"/>
          <w:szCs w:val="72"/>
        </w:rPr>
        <w:t>专业人才培养方案</w:t>
      </w:r>
    </w:p>
    <w:p>
      <w:pPr>
        <w:rPr>
          <w:rFonts w:ascii="方正小标宋简体" w:hAnsi="方正小标宋简体" w:eastAsia="方正小标宋简体"/>
          <w:color w:val="auto"/>
          <w:sz w:val="72"/>
          <w:szCs w:val="72"/>
        </w:rPr>
      </w:pPr>
    </w:p>
    <w:p>
      <w:pPr>
        <w:rPr>
          <w:rFonts w:ascii="方正小标宋简体" w:hAnsi="方正小标宋简体" w:eastAsia="方正小标宋简体"/>
          <w:color w:val="auto"/>
          <w:sz w:val="72"/>
          <w:szCs w:val="72"/>
        </w:rPr>
      </w:pP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59264" behindDoc="0" locked="0" layoutInCell="1" allowOverlap="1">
                <wp:simplePos x="0" y="0"/>
                <wp:positionH relativeFrom="column">
                  <wp:posOffset>2132965</wp:posOffset>
                </wp:positionH>
                <wp:positionV relativeFrom="paragraph">
                  <wp:posOffset>614680</wp:posOffset>
                </wp:positionV>
                <wp:extent cx="1847850" cy="0"/>
                <wp:effectExtent l="0" t="0" r="0" b="0"/>
                <wp:wrapNone/>
                <wp:docPr id="4" name="直接连接符 4"/>
                <wp:cNvGraphicFramePr/>
                <a:graphic xmlns:a="http://schemas.openxmlformats.org/drawingml/2006/main">
                  <a:graphicData uri="http://schemas.microsoft.com/office/word/2010/wordprocessingShape">
                    <wps:wsp>
                      <wps:cNvCnPr/>
                      <wps:spPr>
                        <a:xfrm>
                          <a:off x="3140710" y="511683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8.4pt;height:0pt;width:145.5pt;z-index:251659264;mso-width-relative:page;mso-height-relative:page;" filled="f"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WVq1gAAAAkBAAAPAAAAAAAAAAEAIAAAACIAAABkcnMvZG93bnJldi54bWxQSwECFAAUAAAA&#10;CACHTuJA+UT44vABAAC9AwAADgAAAAAAAAABACAAAAAlAQAAZHJzL2Uyb0RvYy54bWxQSwUGAAAA&#10;AAYABgBZAQAAhw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 xml:space="preserve">专业名称：  </w:t>
      </w:r>
      <w:r>
        <w:rPr>
          <w:rFonts w:hint="eastAsia" w:ascii="方正仿宋简体" w:hAnsi="方正仿宋简体" w:eastAsia="方正仿宋简体"/>
          <w:color w:val="auto"/>
          <w:sz w:val="32"/>
          <w:szCs w:val="32"/>
          <w:lang w:eastAsia="zh-CN"/>
        </w:rPr>
        <w:t>生物制药工艺专业</w:t>
      </w:r>
      <w:r>
        <w:rPr>
          <w:rFonts w:hint="eastAsia" w:ascii="方正仿宋简体" w:hAnsi="方正仿宋简体" w:eastAsia="方正仿宋简体"/>
          <w:color w:val="auto"/>
          <w:sz w:val="32"/>
          <w:szCs w:val="32"/>
        </w:rPr>
        <w:t xml:space="preserve"> </w:t>
      </w:r>
      <w:r>
        <w:rPr>
          <w:rFonts w:hint="eastAsia" w:ascii="方正仿宋简体" w:hAnsi="方正仿宋简体" w:eastAsia="方正仿宋简体"/>
          <w:color w:val="auto"/>
          <w:sz w:val="32"/>
          <w:szCs w:val="32"/>
          <w:u w:val="single"/>
        </w:rPr>
        <w:t xml:space="preserve">    </w:t>
      </w:r>
      <w:r>
        <w:rPr>
          <w:rFonts w:ascii="方正仿宋简体" w:hAnsi="方正仿宋简体" w:eastAsia="方正仿宋简体"/>
          <w:color w:val="auto"/>
          <w:sz w:val="32"/>
          <w:szCs w:val="32"/>
          <w:u w:val="single"/>
        </w:rPr>
        <w:t xml:space="preserve"> </w:t>
      </w: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2142490</wp:posOffset>
                </wp:positionH>
                <wp:positionV relativeFrom="paragraph">
                  <wp:posOffset>551180</wp:posOffset>
                </wp:positionV>
                <wp:extent cx="18478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8.7pt;margin-top:43.4pt;height:0pt;width:145.5pt;z-index:251660288;mso-width-relative:page;mso-height-relative:page;" filled="f"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KZQVODhAQAAsQMAAA4AAABkcnMvZTJvRG9jLnhtbK1TzW4T&#10;MRC+I/EOlu9kk0JK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14v5q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qY4p1gAAAAkBAAAP&#10;AAAAAAAAAAEAIAAAACIAAABkcnMvZG93bnJldi54bWxQSwECFAAUAAAACACHTuJAplBU4O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 xml:space="preserve">专业代码：   </w:t>
      </w:r>
      <w:r>
        <w:rPr>
          <w:rFonts w:hint="eastAsia" w:ascii="方正仿宋简体" w:hAnsi="方正仿宋简体" w:eastAsia="方正仿宋简体"/>
          <w:color w:val="auto"/>
          <w:sz w:val="32"/>
          <w:szCs w:val="32"/>
          <w:lang w:val="en-US" w:eastAsia="zh-CN"/>
        </w:rPr>
        <w:t>6</w:t>
      </w:r>
      <w:r>
        <w:rPr>
          <w:rFonts w:hint="eastAsia" w:ascii="方正仿宋简体" w:hAnsi="方正仿宋简体" w:eastAsia="方正仿宋简体"/>
          <w:color w:val="auto"/>
          <w:sz w:val="32"/>
          <w:szCs w:val="32"/>
        </w:rPr>
        <w:t>9020</w:t>
      </w:r>
      <w:r>
        <w:rPr>
          <w:rFonts w:hint="eastAsia" w:ascii="方正仿宋简体" w:hAnsi="方正仿宋简体" w:eastAsia="方正仿宋简体"/>
          <w:color w:val="auto"/>
          <w:sz w:val="32"/>
          <w:szCs w:val="32"/>
          <w:lang w:val="en-US" w:eastAsia="zh-CN"/>
        </w:rPr>
        <w:t>2</w:t>
      </w:r>
      <w:r>
        <w:rPr>
          <w:rFonts w:hint="eastAsia" w:ascii="方正仿宋简体" w:hAnsi="方正仿宋简体" w:eastAsia="方正仿宋简体"/>
          <w:color w:val="auto"/>
          <w:sz w:val="32"/>
          <w:szCs w:val="32"/>
          <w:u w:val="single"/>
        </w:rPr>
        <w:t xml:space="preserve">  </w:t>
      </w:r>
      <w:r>
        <w:rPr>
          <w:rFonts w:ascii="方正仿宋简体" w:hAnsi="方正仿宋简体" w:eastAsia="方正仿宋简体"/>
          <w:color w:val="auto"/>
          <w:sz w:val="32"/>
          <w:szCs w:val="32"/>
          <w:u w:val="single"/>
        </w:rPr>
        <w:t xml:space="preserve">     </w:t>
      </w: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2132965</wp:posOffset>
                </wp:positionH>
                <wp:positionV relativeFrom="paragraph">
                  <wp:posOffset>592455</wp:posOffset>
                </wp:positionV>
                <wp:extent cx="18478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6.65pt;height:0pt;width:145.5pt;z-index:251661312;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wd+xHWAAAACQEAAA8A&#10;AAAAAAAAAQAgAAAAIgAAAGRycy9kb3ducmV2LnhtbFBLAQIUABQAAAAIAIdO4kBpZwZO4AEAALED&#10;AAAOAAAAAAAAAAEAIAAAACUBAABkcnMvZTJvRG9jLnhtbFBLBQYAAAAABgAGAFkBAAB3BQ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 xml:space="preserve">所属系部：  </w:t>
      </w:r>
      <w:r>
        <w:rPr>
          <w:rFonts w:hint="eastAsia" w:ascii="方正仿宋简体" w:hAnsi="方正仿宋简体" w:eastAsia="方正仿宋简体"/>
          <w:color w:val="auto"/>
          <w:sz w:val="32"/>
          <w:szCs w:val="32"/>
          <w:lang w:eastAsia="zh-CN"/>
        </w:rPr>
        <w:t>制药</w:t>
      </w:r>
      <w:r>
        <w:rPr>
          <w:rFonts w:hint="eastAsia" w:ascii="方正仿宋简体" w:hAnsi="方正仿宋简体" w:eastAsia="方正仿宋简体"/>
          <w:color w:val="auto"/>
          <w:sz w:val="32"/>
          <w:szCs w:val="32"/>
        </w:rPr>
        <w:t>专业部</w:t>
      </w:r>
      <w:r>
        <w:rPr>
          <w:rFonts w:ascii="方正仿宋简体" w:hAnsi="方正仿宋简体" w:eastAsia="方正仿宋简体"/>
          <w:color w:val="auto"/>
          <w:sz w:val="32"/>
          <w:szCs w:val="32"/>
          <w:u w:val="single"/>
        </w:rPr>
        <w:t xml:space="preserve">  </w:t>
      </w:r>
    </w:p>
    <w:p>
      <w:pPr>
        <w:spacing w:line="1000" w:lineRule="exact"/>
        <w:ind w:firstLine="1920" w:firstLineChars="600"/>
        <w:rPr>
          <w:rFonts w:ascii="方正仿宋简体" w:hAnsi="方正仿宋简体" w:eastAsia="方正仿宋简体"/>
          <w:color w:val="auto"/>
          <w:sz w:val="32"/>
          <w:szCs w:val="32"/>
          <w:u w:val="single"/>
        </w:rPr>
      </w:pPr>
      <w:r>
        <w:rPr>
          <w:color w:val="auto"/>
          <w:sz w:val="32"/>
        </w:rPr>
        <mc:AlternateContent>
          <mc:Choice Requires="wps">
            <w:drawing>
              <wp:anchor distT="0" distB="0" distL="114300" distR="114300" simplePos="0" relativeHeight="251662336" behindDoc="0" locked="0" layoutInCell="1" allowOverlap="1">
                <wp:simplePos x="0" y="0"/>
                <wp:positionH relativeFrom="column">
                  <wp:posOffset>2132965</wp:posOffset>
                </wp:positionH>
                <wp:positionV relativeFrom="paragraph">
                  <wp:posOffset>567055</wp:posOffset>
                </wp:positionV>
                <wp:extent cx="18478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4.65pt;height:0pt;width:145.5pt;z-index:251662336;mso-width-relative:page;mso-height-relative:page;" filled="f"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BOIGJ3hAQAAsQMAAA4AAABkcnMvZTJvRG9jLnhtbK1TzW4T&#10;MRC+I/EOlu9kkwJN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aL16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otS1gAAAAkBAAAP&#10;AAAAAAAAAAEAIAAAACIAAABkcnMvZG93bnJldi54bWxQSwECFAAUAAAACACHTuJAE4gYne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olor w:val="auto"/>
          <w:sz w:val="32"/>
          <w:szCs w:val="32"/>
        </w:rPr>
        <w:t>修订时间：  202</w:t>
      </w:r>
      <w:r>
        <w:rPr>
          <w:rFonts w:hint="eastAsia" w:ascii="方正仿宋简体" w:hAnsi="方正仿宋简体" w:eastAsia="方正仿宋简体"/>
          <w:color w:val="auto"/>
          <w:sz w:val="32"/>
          <w:szCs w:val="32"/>
          <w:lang w:val="en-US" w:eastAsia="zh-CN"/>
        </w:rPr>
        <w:t>2</w:t>
      </w:r>
      <w:r>
        <w:rPr>
          <w:rFonts w:hint="eastAsia" w:ascii="方正仿宋简体" w:hAnsi="方正仿宋简体" w:eastAsia="方正仿宋简体"/>
          <w:color w:val="auto"/>
          <w:sz w:val="32"/>
          <w:szCs w:val="32"/>
        </w:rPr>
        <w:t>年</w:t>
      </w:r>
      <w:r>
        <w:rPr>
          <w:rFonts w:ascii="方正仿宋简体" w:hAnsi="方正仿宋简体" w:eastAsia="方正仿宋简体"/>
          <w:color w:val="auto"/>
          <w:sz w:val="32"/>
          <w:szCs w:val="32"/>
        </w:rPr>
        <w:t>8</w:t>
      </w:r>
      <w:r>
        <w:rPr>
          <w:rFonts w:hint="eastAsia" w:ascii="方正仿宋简体" w:hAnsi="方正仿宋简体" w:eastAsia="方正仿宋简体"/>
          <w:color w:val="auto"/>
          <w:sz w:val="32"/>
          <w:szCs w:val="32"/>
        </w:rPr>
        <w:t>月</w:t>
      </w:r>
      <w:r>
        <w:rPr>
          <w:rFonts w:hint="eastAsia" w:ascii="方正仿宋简体" w:hAnsi="方正仿宋简体" w:eastAsia="方正仿宋简体"/>
          <w:color w:val="auto"/>
          <w:sz w:val="32"/>
          <w:szCs w:val="32"/>
          <w:u w:val="single"/>
        </w:rPr>
        <w:t xml:space="preserve"> </w:t>
      </w:r>
      <w:r>
        <w:rPr>
          <w:rFonts w:ascii="方正仿宋简体" w:hAnsi="方正仿宋简体" w:eastAsia="方正仿宋简体"/>
          <w:color w:val="auto"/>
          <w:sz w:val="32"/>
          <w:szCs w:val="32"/>
          <w:u w:val="single"/>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hint="eastAsia" w:ascii="宋体" w:hAnsi="宋体" w:cs="宋体"/>
          <w:b/>
          <w:color w:val="auto"/>
          <w:sz w:val="44"/>
          <w:szCs w:val="44"/>
        </w:rPr>
      </w:pPr>
    </w:p>
    <w:p>
      <w:pPr>
        <w:spacing w:line="36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color w:val="auto"/>
          <w:sz w:val="44"/>
          <w:szCs w:val="44"/>
          <w:lang w:eastAsia="zh-CN"/>
        </w:rPr>
        <w:t>生物制药工艺</w:t>
      </w:r>
      <w:r>
        <w:rPr>
          <w:rFonts w:hint="eastAsia" w:ascii="方正小标宋简体" w:hAnsi="方正小标宋简体" w:eastAsia="方正小标宋简体" w:cs="方正小标宋简体"/>
          <w:b/>
          <w:color w:val="auto"/>
          <w:sz w:val="44"/>
          <w:szCs w:val="44"/>
        </w:rPr>
        <w:t>专业人才培养方案</w:t>
      </w:r>
      <w:bookmarkEnd w:id="0"/>
      <w:bookmarkEnd w:id="1"/>
      <w:bookmarkEnd w:id="2"/>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一、专业概述</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为适应生物医药产业优化升级需要，对接</w:t>
      </w:r>
      <w:r>
        <w:rPr>
          <w:rFonts w:hint="eastAsia" w:ascii="仿宋" w:hAnsi="仿宋" w:eastAsia="仿宋"/>
          <w:color w:val="auto"/>
          <w:sz w:val="32"/>
          <w:szCs w:val="32"/>
          <w:lang w:eastAsia="zh-CN"/>
        </w:rPr>
        <w:t>生物医药</w:t>
      </w:r>
      <w:r>
        <w:rPr>
          <w:rFonts w:hint="eastAsia" w:ascii="仿宋" w:hAnsi="仿宋" w:eastAsia="仿宋"/>
          <w:color w:val="auto"/>
          <w:sz w:val="32"/>
          <w:szCs w:val="32"/>
        </w:rPr>
        <w:t>产业高端化、集约化</w:t>
      </w:r>
      <w:r>
        <w:rPr>
          <w:rFonts w:hint="eastAsia" w:ascii="仿宋" w:hAnsi="仿宋" w:eastAsia="仿宋"/>
          <w:color w:val="auto"/>
          <w:sz w:val="32"/>
          <w:szCs w:val="32"/>
          <w:lang w:eastAsia="zh-CN"/>
        </w:rPr>
        <w:t>、规模化</w:t>
      </w:r>
      <w:r>
        <w:rPr>
          <w:rFonts w:hint="eastAsia" w:ascii="仿宋" w:hAnsi="仿宋" w:eastAsia="仿宋"/>
          <w:color w:val="auto"/>
          <w:sz w:val="32"/>
          <w:szCs w:val="32"/>
        </w:rPr>
        <w:t>发展新趋势，对接新产业 、新业态、新模式下发酵药</w:t>
      </w:r>
      <w:r>
        <w:rPr>
          <w:rFonts w:hint="eastAsia" w:ascii="仿宋" w:hAnsi="仿宋" w:eastAsia="仿宋"/>
          <w:color w:val="auto"/>
          <w:sz w:val="32"/>
          <w:szCs w:val="32"/>
          <w:lang w:eastAsia="zh-CN"/>
        </w:rPr>
        <w:t>物</w:t>
      </w:r>
      <w:r>
        <w:rPr>
          <w:rFonts w:hint="eastAsia" w:ascii="仿宋" w:hAnsi="仿宋" w:eastAsia="仿宋"/>
          <w:color w:val="auto"/>
          <w:sz w:val="32"/>
          <w:szCs w:val="32"/>
        </w:rPr>
        <w:t>、基因工程药物</w:t>
      </w:r>
      <w:r>
        <w:rPr>
          <w:rFonts w:hint="eastAsia" w:ascii="仿宋" w:hAnsi="仿宋" w:eastAsia="仿宋"/>
          <w:color w:val="auto"/>
          <w:sz w:val="32"/>
          <w:szCs w:val="32"/>
          <w:lang w:eastAsia="zh-CN"/>
        </w:rPr>
        <w:t>生产</w:t>
      </w:r>
      <w:r>
        <w:rPr>
          <w:rFonts w:hint="eastAsia" w:ascii="仿宋" w:hAnsi="仿宋" w:eastAsia="仿宋"/>
          <w:color w:val="auto"/>
          <w:sz w:val="32"/>
          <w:szCs w:val="32"/>
        </w:rPr>
        <w:t>等岗位群的新要求，不断满足</w:t>
      </w:r>
      <w:r>
        <w:rPr>
          <w:rFonts w:hint="eastAsia" w:ascii="仿宋" w:hAnsi="仿宋" w:eastAsia="仿宋"/>
          <w:color w:val="auto"/>
          <w:sz w:val="32"/>
          <w:szCs w:val="32"/>
          <w:lang w:eastAsia="zh-CN"/>
        </w:rPr>
        <w:t>生物医药</w:t>
      </w:r>
      <w:r>
        <w:rPr>
          <w:rFonts w:hint="eastAsia" w:ascii="仿宋" w:hAnsi="仿宋" w:eastAsia="仿宋"/>
          <w:color w:val="auto"/>
          <w:sz w:val="32"/>
          <w:szCs w:val="32"/>
        </w:rPr>
        <w:t>产业高质量发展对高素质劳动者和技术技能人才的需求，推动职业教育专业升级和数字化改造，提高人才培养质量，遵循推进职业教育高质量发展的总体要求，参照国家相关标准编制要求，制订本方案。</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二</w:t>
      </w:r>
      <w:r>
        <w:rPr>
          <w:rFonts w:eastAsia="黑体"/>
          <w:color w:val="auto"/>
          <w:sz w:val="32"/>
          <w:szCs w:val="32"/>
        </w:rPr>
        <w:t>、专业名称及代码</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专业名称：生物制药工艺</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专业代码：</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9020</w:t>
      </w:r>
      <w:r>
        <w:rPr>
          <w:rFonts w:hint="eastAsia" w:ascii="仿宋" w:hAnsi="仿宋" w:eastAsia="仿宋" w:cs="仿宋"/>
          <w:color w:val="auto"/>
          <w:sz w:val="32"/>
          <w:szCs w:val="32"/>
          <w:lang w:val="en-US" w:eastAsia="zh-CN"/>
        </w:rPr>
        <w:t>2</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三</w:t>
      </w:r>
      <w:r>
        <w:rPr>
          <w:rFonts w:eastAsia="黑体"/>
          <w:color w:val="auto"/>
          <w:sz w:val="32"/>
          <w:szCs w:val="32"/>
        </w:rPr>
        <w:t>、入学要求</w:t>
      </w:r>
    </w:p>
    <w:p>
      <w:pPr>
        <w:overflowPunct w:val="0"/>
        <w:adjustRightInd w:val="0"/>
        <w:spacing w:line="560" w:lineRule="exact"/>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初中毕业生或具有同等学力者。</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四</w:t>
      </w:r>
      <w:r>
        <w:rPr>
          <w:rFonts w:eastAsia="黑体"/>
          <w:color w:val="auto"/>
          <w:sz w:val="32"/>
          <w:szCs w:val="32"/>
        </w:rPr>
        <w:t>、修业年限</w:t>
      </w:r>
    </w:p>
    <w:p>
      <w:pPr>
        <w:spacing w:line="560" w:lineRule="exact"/>
        <w:ind w:firstLine="1280" w:firstLineChars="400"/>
        <w:rPr>
          <w:rFonts w:ascii="仿宋" w:hAnsi="仿宋" w:eastAsia="仿宋" w:cs="Times New Roman"/>
          <w:color w:val="auto"/>
          <w:sz w:val="32"/>
          <w:szCs w:val="32"/>
        </w:rPr>
      </w:pPr>
      <w:r>
        <w:rPr>
          <w:rFonts w:hint="eastAsia" w:ascii="仿宋" w:hAnsi="仿宋" w:eastAsia="仿宋" w:cs="Times New Roman"/>
          <w:color w:val="auto"/>
          <w:sz w:val="32"/>
          <w:szCs w:val="32"/>
        </w:rPr>
        <w:t>三年</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五</w:t>
      </w:r>
      <w:r>
        <w:rPr>
          <w:rFonts w:eastAsia="黑体"/>
          <w:color w:val="auto"/>
          <w:sz w:val="32"/>
          <w:szCs w:val="32"/>
        </w:rPr>
        <w:t>、职业面向</w:t>
      </w:r>
    </w:p>
    <w:p>
      <w:pPr>
        <w:spacing w:line="560" w:lineRule="exact"/>
        <w:ind w:firstLine="584"/>
        <w:rPr>
          <w:rFonts w:ascii="仿宋" w:hAnsi="仿宋" w:eastAsia="仿宋" w:cs="Times New Roman"/>
          <w:color w:val="auto"/>
          <w:sz w:val="32"/>
          <w:szCs w:val="32"/>
        </w:rPr>
      </w:pPr>
      <w:r>
        <w:rPr>
          <w:rFonts w:hint="eastAsia" w:ascii="仿宋" w:hAnsi="仿宋" w:eastAsia="仿宋" w:cs="Times New Roman"/>
          <w:color w:val="auto"/>
          <w:sz w:val="32"/>
          <w:szCs w:val="32"/>
        </w:rPr>
        <w:t>本专业的职业面向主要是在</w:t>
      </w:r>
      <w:r>
        <w:rPr>
          <w:rFonts w:hint="eastAsia" w:ascii="仿宋" w:hAnsi="仿宋" w:eastAsia="仿宋" w:cs="Times New Roman"/>
          <w:color w:val="auto"/>
          <w:sz w:val="32"/>
          <w:szCs w:val="32"/>
          <w:lang w:eastAsia="zh-CN"/>
        </w:rPr>
        <w:t>生物医药产业的发酵生产、</w:t>
      </w:r>
      <w:r>
        <w:rPr>
          <w:rFonts w:hint="eastAsia" w:ascii="仿宋" w:hAnsi="仿宋" w:eastAsia="仿宋" w:cs="Times New Roman"/>
          <w:color w:val="auto"/>
          <w:sz w:val="32"/>
          <w:szCs w:val="32"/>
        </w:rPr>
        <w:t>制剂生产、基因工程药物、药物制剂质量控制。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所属专业大类</w:t>
            </w:r>
          </w:p>
          <w:p>
            <w:pPr>
              <w:jc w:val="center"/>
              <w:rPr>
                <w:rFonts w:ascii="仿宋" w:hAnsi="仿宋" w:eastAsia="仿宋" w:cs="Times New Roman"/>
                <w:color w:val="auto"/>
                <w:sz w:val="32"/>
                <w:szCs w:val="32"/>
              </w:rPr>
            </w:pPr>
            <w:r>
              <w:rPr>
                <w:rFonts w:hint="eastAsia" w:ascii="仿宋" w:hAnsi="仿宋" w:eastAsia="仿宋" w:cs="Times New Roman"/>
                <w:color w:val="auto"/>
                <w:sz w:val="24"/>
              </w:rPr>
              <w:t>（代码</w:t>
            </w:r>
            <w:r>
              <w:rPr>
                <w:rFonts w:ascii="仿宋" w:hAnsi="仿宋" w:eastAsia="仿宋" w:cs="Times New Roman"/>
                <w:color w:val="auto"/>
                <w:sz w:val="24"/>
              </w:rPr>
              <w:t>）</w:t>
            </w:r>
          </w:p>
        </w:tc>
        <w:tc>
          <w:tcPr>
            <w:tcW w:w="6884" w:type="dxa"/>
          </w:tcPr>
          <w:p>
            <w:pPr>
              <w:spacing w:line="560" w:lineRule="exact"/>
              <w:rPr>
                <w:rFonts w:ascii="仿宋" w:hAnsi="仿宋" w:eastAsia="仿宋" w:cs="Times New Roman"/>
                <w:color w:val="auto"/>
                <w:sz w:val="32"/>
                <w:szCs w:val="32"/>
              </w:rPr>
            </w:pPr>
            <w:r>
              <w:rPr>
                <w:rFonts w:hint="eastAsia" w:ascii="仿宋" w:hAnsi="仿宋" w:eastAsia="仿宋" w:cs="Times New Roman"/>
                <w:color w:val="auto"/>
                <w:sz w:val="24"/>
              </w:rPr>
              <w:t>食品药品与粮食大类（</w:t>
            </w:r>
            <w:r>
              <w:rPr>
                <w:rFonts w:hint="eastAsia" w:ascii="仿宋" w:hAnsi="仿宋" w:eastAsia="仿宋" w:cs="Times New Roman"/>
                <w:color w:val="auto"/>
                <w:sz w:val="24"/>
                <w:lang w:val="en-US" w:eastAsia="zh-CN"/>
              </w:rPr>
              <w:t>69</w:t>
            </w:r>
            <w:r>
              <w:rPr>
                <w:rFonts w:hint="eastAsia" w:ascii="仿宋" w:hAnsi="仿宋" w:eastAsia="仿宋" w:cs="Times New Roman"/>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所属专业类</w:t>
            </w:r>
          </w:p>
          <w:p>
            <w:pPr>
              <w:jc w:val="center"/>
              <w:rPr>
                <w:rFonts w:ascii="仿宋" w:hAnsi="仿宋" w:eastAsia="仿宋" w:cs="Times New Roman"/>
                <w:color w:val="auto"/>
                <w:sz w:val="32"/>
                <w:szCs w:val="32"/>
              </w:rPr>
            </w:pPr>
            <w:r>
              <w:rPr>
                <w:rFonts w:hint="eastAsia" w:ascii="仿宋" w:hAnsi="仿宋" w:eastAsia="仿宋" w:cs="Times New Roman"/>
                <w:color w:val="auto"/>
                <w:sz w:val="24"/>
              </w:rPr>
              <w:t>（代码）</w:t>
            </w:r>
          </w:p>
        </w:tc>
        <w:tc>
          <w:tcPr>
            <w:tcW w:w="6884" w:type="dxa"/>
          </w:tcPr>
          <w:p>
            <w:pPr>
              <w:spacing w:line="560" w:lineRule="exact"/>
              <w:rPr>
                <w:rFonts w:ascii="仿宋" w:hAnsi="仿宋" w:eastAsia="仿宋" w:cs="Times New Roman"/>
                <w:color w:val="auto"/>
                <w:sz w:val="32"/>
                <w:szCs w:val="32"/>
              </w:rPr>
            </w:pPr>
            <w:r>
              <w:rPr>
                <w:rFonts w:hint="eastAsia" w:ascii="仿宋" w:hAnsi="仿宋" w:eastAsia="仿宋" w:cs="Times New Roman"/>
                <w:color w:val="auto"/>
                <w:sz w:val="24"/>
              </w:rPr>
              <w:t>药品与医疗器械类（</w:t>
            </w:r>
            <w:r>
              <w:rPr>
                <w:rFonts w:hint="eastAsia" w:ascii="仿宋" w:hAnsi="仿宋" w:eastAsia="仿宋" w:cs="Times New Roman"/>
                <w:color w:val="auto"/>
                <w:sz w:val="24"/>
                <w:lang w:val="en-US" w:eastAsia="zh-CN"/>
              </w:rPr>
              <w:t>6902</w:t>
            </w:r>
            <w:r>
              <w:rPr>
                <w:rFonts w:hint="eastAsia" w:ascii="仿宋" w:hAnsi="仿宋" w:eastAsia="仿宋" w:cs="Times New Roman"/>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对应行业</w:t>
            </w:r>
          </w:p>
          <w:p>
            <w:pPr>
              <w:jc w:val="center"/>
              <w:rPr>
                <w:rFonts w:ascii="仿宋" w:hAnsi="仿宋" w:eastAsia="仿宋" w:cs="Times New Roman"/>
                <w:color w:val="auto"/>
                <w:sz w:val="24"/>
              </w:rPr>
            </w:pPr>
            <w:r>
              <w:rPr>
                <w:rFonts w:hint="eastAsia" w:ascii="仿宋" w:hAnsi="仿宋" w:eastAsia="仿宋" w:cs="Times New Roman"/>
                <w:color w:val="auto"/>
                <w:sz w:val="24"/>
              </w:rPr>
              <w:t>（代码）</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rPr>
              <w:t>医药制造业（</w:t>
            </w:r>
            <w:r>
              <w:rPr>
                <w:rFonts w:hint="eastAsia" w:ascii="仿宋" w:hAnsi="仿宋" w:eastAsia="仿宋" w:cs="Times New Roman"/>
                <w:color w:val="auto"/>
                <w:sz w:val="24"/>
                <w:lang w:val="en-US" w:eastAsia="zh-CN"/>
              </w:rPr>
              <w:t>27</w:t>
            </w:r>
            <w:r>
              <w:rPr>
                <w:rFonts w:hint="eastAsia" w:ascii="仿宋" w:hAnsi="仿宋" w:eastAsia="仿宋" w:cs="Times New Roman"/>
                <w:color w:val="auto"/>
                <w:sz w:val="24"/>
              </w:rPr>
              <w:t>）；批发（51）；</w:t>
            </w:r>
            <w:r>
              <w:rPr>
                <w:rFonts w:hint="eastAsia" w:ascii="仿宋" w:hAnsi="仿宋" w:eastAsia="仿宋" w:cs="Times New Roman"/>
                <w:color w:val="auto"/>
                <w:sz w:val="24"/>
                <w:lang w:eastAsia="zh-CN"/>
              </w:rPr>
              <w:t>零售业</w:t>
            </w:r>
            <w:r>
              <w:rPr>
                <w:rFonts w:hint="eastAsia" w:ascii="仿宋" w:hAnsi="仿宋" w:eastAsia="仿宋" w:cs="Times New Roman"/>
                <w:color w:val="auto"/>
                <w:sz w:val="24"/>
              </w:rPr>
              <w:t>（5</w:t>
            </w:r>
            <w:r>
              <w:rPr>
                <w:rFonts w:hint="eastAsia" w:ascii="仿宋" w:hAnsi="仿宋" w:eastAsia="仿宋" w:cs="Times New Roman"/>
                <w:color w:val="auto"/>
                <w:sz w:val="24"/>
                <w:lang w:val="en-US" w:eastAsia="zh-CN"/>
              </w:rPr>
              <w:t>2</w:t>
            </w:r>
            <w:r>
              <w:rPr>
                <w:rFonts w:hint="eastAsia" w:ascii="仿宋" w:hAnsi="仿宋" w:eastAsia="仿宋" w:cs="Times New Roman"/>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主要职业类别（代码）</w:t>
            </w:r>
          </w:p>
        </w:tc>
        <w:tc>
          <w:tcPr>
            <w:tcW w:w="6884" w:type="dxa"/>
          </w:tcPr>
          <w:p>
            <w:pPr>
              <w:rPr>
                <w:rFonts w:hint="eastAsia" w:ascii="仿宋" w:hAnsi="仿宋" w:eastAsia="仿宋" w:cs="Times New Roman"/>
                <w:color w:val="auto"/>
                <w:sz w:val="24"/>
              </w:rPr>
            </w:pPr>
            <w:r>
              <w:rPr>
                <w:rFonts w:hint="eastAsia" w:ascii="仿宋" w:hAnsi="仿宋" w:eastAsia="仿宋" w:cs="Times New Roman"/>
                <w:color w:val="auto"/>
                <w:sz w:val="24"/>
              </w:rPr>
              <w:t xml:space="preserve"> 药物制剂工（6-14-03-01</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 其他药物制剂人员</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6-14-03-99</w:t>
            </w:r>
            <w:r>
              <w:rPr>
                <w:rFonts w:hint="eastAsia" w:ascii="仿宋" w:hAnsi="仿宋" w:eastAsia="仿宋" w:cs="Times New Roman"/>
                <w:color w:val="auto"/>
                <w:sz w:val="24"/>
                <w:lang w:eastAsia="zh-CN"/>
              </w:rPr>
              <w:t>）</w:t>
            </w:r>
          </w:p>
          <w:p>
            <w:pPr>
              <w:rPr>
                <w:rFonts w:ascii="仿宋" w:hAnsi="仿宋" w:eastAsia="仿宋" w:cs="Times New Roman"/>
                <w:color w:val="auto"/>
                <w:sz w:val="24"/>
              </w:rPr>
            </w:pPr>
            <w:r>
              <w:rPr>
                <w:rFonts w:hint="eastAsia" w:ascii="仿宋" w:hAnsi="仿宋" w:eastAsia="仿宋" w:cs="Times New Roman"/>
                <w:color w:val="auto"/>
                <w:sz w:val="24"/>
              </w:rPr>
              <w:t xml:space="preserve"> 其他药品生产人员（6-14-99-00）</w:t>
            </w:r>
            <w:r>
              <w:rPr>
                <w:rFonts w:hint="eastAsia" w:ascii="仿宋" w:hAnsi="仿宋" w:eastAsia="仿宋" w:cs="Times New Roman"/>
                <w:color w:val="auto"/>
                <w:sz w:val="24"/>
                <w:lang w:eastAsia="zh-CN"/>
              </w:rPr>
              <w:t>药物检验工（6-26-01-21）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主要岗位类别</w:t>
            </w:r>
          </w:p>
          <w:p>
            <w:pPr>
              <w:jc w:val="center"/>
              <w:rPr>
                <w:rFonts w:ascii="仿宋" w:hAnsi="仿宋" w:eastAsia="仿宋" w:cs="Times New Roman"/>
                <w:color w:val="auto"/>
                <w:sz w:val="24"/>
              </w:rPr>
            </w:pPr>
            <w:r>
              <w:rPr>
                <w:rFonts w:hint="eastAsia" w:ascii="仿宋" w:hAnsi="仿宋" w:eastAsia="仿宋" w:cs="Times New Roman"/>
                <w:color w:val="auto"/>
                <w:sz w:val="24"/>
              </w:rPr>
              <w:t>（或技术领域）</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rPr>
              <w:t>发酵生产、制剂生产、基因工程药物、药物制剂质量控制</w:t>
            </w:r>
            <w:r>
              <w:rPr>
                <w:rFonts w:hint="eastAsia" w:ascii="仿宋" w:hAnsi="仿宋" w:eastAsia="仿宋" w:cs="Times New Roman"/>
                <w:color w:val="auto"/>
                <w:sz w:val="24"/>
                <w:lang w:eastAsia="zh-CN"/>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仿宋" w:hAnsi="仿宋" w:eastAsia="仿宋" w:cs="Times New Roman"/>
                <w:color w:val="auto"/>
                <w:sz w:val="24"/>
              </w:rPr>
            </w:pPr>
            <w:r>
              <w:rPr>
                <w:rFonts w:hint="eastAsia" w:ascii="仿宋" w:hAnsi="仿宋" w:eastAsia="仿宋" w:cs="Times New Roman"/>
                <w:color w:val="auto"/>
                <w:sz w:val="24"/>
              </w:rPr>
              <w:t>职业类证书举例</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lang w:val="en-US" w:eastAsia="zh-CN"/>
              </w:rPr>
              <w:t>1+X</w:t>
            </w:r>
            <w:r>
              <w:rPr>
                <w:rFonts w:hint="eastAsia" w:ascii="仿宋" w:hAnsi="仿宋" w:eastAsia="仿宋" w:cs="Times New Roman"/>
                <w:color w:val="auto"/>
                <w:sz w:val="24"/>
              </w:rPr>
              <w:t>药物制剂生产职业技能等级证书；</w:t>
            </w:r>
          </w:p>
          <w:p>
            <w:pPr>
              <w:rPr>
                <w:rFonts w:ascii="仿宋" w:hAnsi="仿宋" w:eastAsia="仿宋" w:cs="Times New Roman"/>
                <w:color w:val="auto"/>
                <w:sz w:val="24"/>
              </w:rPr>
            </w:pPr>
            <w:r>
              <w:rPr>
                <w:rFonts w:hint="eastAsia" w:ascii="仿宋" w:hAnsi="仿宋" w:eastAsia="仿宋" w:cs="Times New Roman"/>
                <w:color w:val="auto"/>
                <w:sz w:val="24"/>
                <w:lang w:val="en-US" w:eastAsia="zh-CN"/>
              </w:rPr>
              <w:t>1+X</w:t>
            </w:r>
            <w:r>
              <w:rPr>
                <w:rFonts w:hint="eastAsia" w:ascii="仿宋" w:hAnsi="仿宋" w:eastAsia="仿宋" w:cs="Times New Roman"/>
                <w:color w:val="auto"/>
                <w:sz w:val="24"/>
              </w:rPr>
              <w:t>药</w:t>
            </w:r>
            <w:r>
              <w:rPr>
                <w:rFonts w:hint="eastAsia" w:ascii="仿宋" w:hAnsi="仿宋" w:eastAsia="仿宋" w:cs="Times New Roman"/>
                <w:color w:val="auto"/>
                <w:sz w:val="24"/>
                <w:lang w:eastAsia="zh-CN"/>
              </w:rPr>
              <w:t>品营销</w:t>
            </w:r>
            <w:r>
              <w:rPr>
                <w:rFonts w:hint="eastAsia" w:ascii="仿宋" w:hAnsi="仿宋" w:eastAsia="仿宋" w:cs="Times New Roman"/>
                <w:color w:val="auto"/>
                <w:sz w:val="24"/>
              </w:rPr>
              <w:t>生产职业技能等级证书。</w:t>
            </w:r>
          </w:p>
        </w:tc>
      </w:tr>
    </w:tbl>
    <w:p>
      <w:pPr>
        <w:overflowPunct w:val="0"/>
        <w:adjustRightInd w:val="0"/>
        <w:ind w:firstLine="640" w:firstLineChars="200"/>
        <w:outlineLvl w:val="0"/>
        <w:rPr>
          <w:rFonts w:eastAsia="黑体"/>
          <w:color w:val="auto"/>
          <w:sz w:val="32"/>
          <w:szCs w:val="32"/>
        </w:rPr>
      </w:pPr>
      <w:r>
        <w:rPr>
          <w:rFonts w:hint="eastAsia" w:eastAsia="黑体"/>
          <w:color w:val="auto"/>
          <w:sz w:val="32"/>
          <w:szCs w:val="32"/>
        </w:rPr>
        <w:t>六</w:t>
      </w:r>
      <w:r>
        <w:rPr>
          <w:rFonts w:eastAsia="黑体"/>
          <w:color w:val="auto"/>
          <w:sz w:val="32"/>
          <w:szCs w:val="32"/>
        </w:rPr>
        <w:t>、培养目标与培养规格</w:t>
      </w:r>
    </w:p>
    <w:p>
      <w:pPr>
        <w:overflowPunct w:val="0"/>
        <w:adjustRightInd w:val="0"/>
        <w:spacing w:line="560" w:lineRule="exact"/>
        <w:ind w:firstLine="640" w:firstLineChars="200"/>
        <w:outlineLvl w:val="0"/>
        <w:rPr>
          <w:rFonts w:hint="eastAsia" w:ascii="仿宋" w:hAnsi="仿宋" w:eastAsia="仿宋"/>
          <w:color w:val="auto"/>
          <w:sz w:val="32"/>
          <w:szCs w:val="32"/>
          <w:lang w:eastAsia="zh-CN"/>
        </w:rPr>
      </w:pPr>
      <w:r>
        <w:rPr>
          <w:rFonts w:hint="eastAsia" w:ascii="仿宋" w:hAnsi="仿宋" w:eastAsia="仿宋"/>
          <w:color w:val="auto"/>
          <w:sz w:val="32"/>
          <w:szCs w:val="32"/>
        </w:rPr>
        <w:t>本专业培养能够践行社会主义核心价值观</w:t>
      </w:r>
      <w:r>
        <w:rPr>
          <w:rFonts w:hint="eastAsia" w:ascii="仿宋" w:hAnsi="仿宋" w:eastAsia="仿宋"/>
          <w:color w:val="auto"/>
          <w:sz w:val="32"/>
          <w:szCs w:val="32"/>
          <w:lang w:eastAsia="zh-CN"/>
        </w:rPr>
        <w:t>，</w:t>
      </w:r>
      <w:r>
        <w:rPr>
          <w:rFonts w:hint="eastAsia" w:ascii="仿宋" w:hAnsi="仿宋" w:eastAsia="仿宋"/>
          <w:color w:val="auto"/>
          <w:sz w:val="32"/>
          <w:szCs w:val="32"/>
        </w:rPr>
        <w:t>德智体美劳全面发展，具有良好的科学与人文素养、职业道德和精益求精的工匠精神，扎实的文化基础知识、较强的就业创业能力和学习能力和掌握扎实的科学文化基础和培养基制备、无菌操作、原材料预处理等知识及相关法律法规，具备菌种选育、分离纯化等能力，具有工匠精神和信息素养，能够从事生化药品制造、发酵过程控制、疫苗制品生产等工作的技术技能人才</w:t>
      </w:r>
      <w:r>
        <w:rPr>
          <w:rFonts w:hint="eastAsia" w:ascii="仿宋" w:hAnsi="仿宋" w:eastAsia="仿宋"/>
          <w:color w:val="auto"/>
          <w:sz w:val="32"/>
          <w:szCs w:val="32"/>
          <w:lang w:eastAsia="zh-CN"/>
        </w:rPr>
        <w:t>。</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（二）培养规格</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本专业学生应在系统学习本专业知识并完成有关实习实训基础上，全面提升素质、知识、能力，掌握并实际运用岗位（群）需要的专业技术技能，总体上须达到以下要求。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1．坚定拥护中国共产党领导和中国特色社会主义制度，以习近平新时代中国特色社会主义思想为指导，践行社会主义核心价值观，具有坚定的理想信念、深厚的爱国情感和中华民族自豪感；</w:t>
      </w:r>
    </w:p>
    <w:p>
      <w:pPr>
        <w:spacing w:line="560" w:lineRule="exact"/>
        <w:rPr>
          <w:rFonts w:ascii="仿宋" w:hAnsi="仿宋" w:eastAsia="仿宋" w:cs="仿宋"/>
          <w:color w:val="auto"/>
          <w:sz w:val="32"/>
          <w:szCs w:val="32"/>
        </w:rPr>
      </w:pPr>
      <w:r>
        <w:rPr>
          <w:rFonts w:hint="eastAsia" w:ascii="仿宋" w:hAnsi="仿宋" w:eastAsia="仿宋" w:cs="仿宋"/>
          <w:color w:val="auto"/>
          <w:sz w:val="32"/>
          <w:szCs w:val="32"/>
        </w:rPr>
        <w:t xml:space="preserve"> </w:t>
      </w:r>
      <w:r>
        <w:rPr>
          <w:rFonts w:ascii="仿宋" w:hAnsi="仿宋" w:eastAsia="仿宋" w:cs="仿宋"/>
          <w:color w:val="auto"/>
          <w:sz w:val="32"/>
          <w:szCs w:val="32"/>
        </w:rPr>
        <w:t xml:space="preserve">   2</w:t>
      </w:r>
      <w:r>
        <w:rPr>
          <w:rFonts w:hint="eastAsia" w:ascii="仿宋" w:hAnsi="仿宋" w:eastAsia="仿宋" w:cs="仿宋"/>
          <w:color w:val="auto"/>
          <w:sz w:val="32"/>
          <w:szCs w:val="32"/>
        </w:rPr>
        <w:t>．具有国防观念和国家安全意识，具备强烈的集体主义观念和吃苦耐劳的作风，了解基本的国防知识，掌握初步的军事技能；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3．能够熟练掌握与本专业从事职业活动相关的国家法律、行业规定，掌握绿色生产、环境保护、安全防护、质量管理等相关知识与技能，了解</w:t>
      </w:r>
      <w:r>
        <w:rPr>
          <w:rFonts w:hint="eastAsia" w:ascii="仿宋" w:hAnsi="仿宋" w:eastAsia="仿宋" w:cs="仿宋"/>
          <w:color w:val="auto"/>
          <w:sz w:val="32"/>
          <w:szCs w:val="32"/>
          <w:lang w:eastAsia="zh-CN"/>
        </w:rPr>
        <w:t>医药行业的</w:t>
      </w:r>
      <w:r>
        <w:rPr>
          <w:rFonts w:hint="eastAsia" w:ascii="仿宋" w:hAnsi="仿宋" w:eastAsia="仿宋" w:cs="仿宋"/>
          <w:color w:val="auto"/>
          <w:sz w:val="32"/>
          <w:szCs w:val="32"/>
        </w:rPr>
        <w:t>产业文化；</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4．掌握支撑本专业学习和可持续发展必备的</w:t>
      </w:r>
      <w:r>
        <w:rPr>
          <w:rFonts w:hint="eastAsia" w:ascii="仿宋" w:hAnsi="仿宋" w:eastAsia="仿宋" w:cs="仿宋"/>
          <w:color w:val="auto"/>
          <w:sz w:val="32"/>
          <w:szCs w:val="32"/>
          <w:lang w:eastAsia="zh-CN"/>
        </w:rPr>
        <w:t>化学</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语文</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数学</w:t>
      </w:r>
      <w:r>
        <w:rPr>
          <w:rFonts w:hint="eastAsia" w:ascii="仿宋" w:hAnsi="仿宋" w:eastAsia="仿宋" w:cs="仿宋"/>
          <w:color w:val="auto"/>
          <w:sz w:val="32"/>
          <w:szCs w:val="32"/>
        </w:rPr>
        <w:t>等文化基础知识，具有良好的科学与人文素养，具备职业生涯规划能力；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5．具有良好的语言表达能力、文字表达能力、沟通合作能力，具有较强的集体意识和团队合作意识，学习一门外语并结合专业加以运用；</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6．</w:t>
      </w:r>
      <w:r>
        <w:rPr>
          <w:rFonts w:hint="eastAsia" w:ascii="仿宋" w:hAnsi="仿宋" w:eastAsia="仿宋" w:cs="仿宋"/>
          <w:color w:val="auto"/>
          <w:sz w:val="32"/>
          <w:szCs w:val="32"/>
          <w:lang w:eastAsia="zh-CN"/>
        </w:rPr>
        <w:t>掌握化学、化工单元操作、微生物基础等方面的专业基础知识；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掌握</w:t>
      </w:r>
      <w:r>
        <w:rPr>
          <w:rFonts w:hint="eastAsia" w:ascii="仿宋" w:hAnsi="仿宋" w:eastAsia="仿宋" w:cs="仿宋"/>
          <w:color w:val="auto"/>
          <w:sz w:val="32"/>
          <w:szCs w:val="32"/>
          <w:lang w:eastAsia="zh-CN"/>
        </w:rPr>
        <w:t>生物发酵技术、生物制药工艺、药物制剂、药物分析</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安全生产、制药设备等</w:t>
      </w:r>
      <w:r>
        <w:rPr>
          <w:rFonts w:hint="eastAsia" w:ascii="仿宋" w:hAnsi="仿宋" w:eastAsia="仿宋" w:cs="仿宋"/>
          <w:color w:val="auto"/>
          <w:sz w:val="32"/>
          <w:szCs w:val="32"/>
        </w:rPr>
        <w:t>方面的专业知识；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．掌握</w:t>
      </w:r>
      <w:r>
        <w:rPr>
          <w:rFonts w:hint="eastAsia" w:ascii="仿宋" w:hAnsi="仿宋" w:eastAsia="仿宋" w:cs="Times New Roman"/>
          <w:color w:val="auto"/>
          <w:sz w:val="32"/>
          <w:szCs w:val="32"/>
          <w:lang w:eastAsia="zh-CN"/>
        </w:rPr>
        <w:t>生物发酵技术、</w:t>
      </w:r>
      <w:r>
        <w:rPr>
          <w:rFonts w:hint="eastAsia" w:ascii="仿宋" w:hAnsi="仿宋" w:eastAsia="仿宋" w:cs="Times New Roman"/>
          <w:color w:val="auto"/>
          <w:sz w:val="32"/>
          <w:szCs w:val="32"/>
        </w:rPr>
        <w:t>制剂生产、药物制剂质量控制</w:t>
      </w:r>
      <w:r>
        <w:rPr>
          <w:rFonts w:hint="eastAsia" w:ascii="仿宋" w:hAnsi="仿宋" w:eastAsia="仿宋" w:cs="仿宋"/>
          <w:color w:val="auto"/>
          <w:sz w:val="32"/>
          <w:szCs w:val="32"/>
        </w:rPr>
        <w:t>等技术技能，具有</w:t>
      </w:r>
      <w:r>
        <w:rPr>
          <w:rFonts w:hint="eastAsia" w:ascii="仿宋" w:hAnsi="仿宋" w:eastAsia="仿宋" w:cs="仿宋"/>
          <w:color w:val="auto"/>
          <w:sz w:val="32"/>
          <w:szCs w:val="32"/>
          <w:lang w:eastAsia="zh-CN"/>
        </w:rPr>
        <w:t>实际操作</w:t>
      </w:r>
      <w:r>
        <w:rPr>
          <w:rFonts w:hint="eastAsia" w:ascii="仿宋" w:hAnsi="仿宋" w:eastAsia="仿宋" w:cs="仿宋"/>
          <w:color w:val="auto"/>
          <w:sz w:val="32"/>
          <w:szCs w:val="32"/>
        </w:rPr>
        <w:t>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具有适应产业数字化发展需求的基本数字技能，掌握信息技术基础知识、专业信息技术能力，初步掌握</w:t>
      </w:r>
      <w:r>
        <w:rPr>
          <w:rFonts w:hint="eastAsia" w:ascii="仿宋" w:hAnsi="仿宋" w:eastAsia="仿宋" w:cs="仿宋"/>
          <w:color w:val="auto"/>
          <w:sz w:val="32"/>
          <w:szCs w:val="32"/>
          <w:lang w:eastAsia="zh-CN"/>
        </w:rPr>
        <w:t>医药</w:t>
      </w:r>
      <w:r>
        <w:rPr>
          <w:rFonts w:hint="eastAsia" w:ascii="仿宋" w:hAnsi="仿宋" w:eastAsia="仿宋" w:cs="仿宋"/>
          <w:color w:val="auto"/>
          <w:sz w:val="32"/>
          <w:szCs w:val="32"/>
        </w:rPr>
        <w:t>领域数字化技能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正确记录生产过程并对数据进行分析，实施实验室信息化管理的能力；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．具有探究学习、终身学习能力，具有一定的分析问题和解决问题的能力；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．掌握基本身体运动知识和至少</w:t>
      </w:r>
      <w:r>
        <w:rPr>
          <w:rFonts w:ascii="仿宋" w:hAnsi="仿宋" w:eastAsia="仿宋" w:cs="仿宋"/>
          <w:color w:val="auto"/>
          <w:sz w:val="32"/>
          <w:szCs w:val="32"/>
        </w:rPr>
        <w:t>1</w:t>
      </w:r>
      <w:r>
        <w:rPr>
          <w:rFonts w:hint="eastAsia" w:ascii="仿宋" w:hAnsi="仿宋" w:eastAsia="仿宋" w:cs="仿宋"/>
          <w:color w:val="auto"/>
          <w:sz w:val="32"/>
          <w:szCs w:val="32"/>
        </w:rPr>
        <w:t>项体育运动技能，养成良好的运动习惯、卫生习惯和行为习惯；具备一定的心理调适能力；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．掌握必备的美育知识，具有一定的文化修养、审美能力，形成至少1项艺术特长或爱好；</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．弘扬劳动光荣、技能宝贵、创造伟大的时代精神，热爱劳动人民、珍惜劳动成果、树立劳动观念、积极投身劳动，具备与本专业职业发展相适应的劳动素养、劳动技能。</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14．具有依据标准操作规程进行动物细胞复苏、培养、过程控制的能力；</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15．具有依据标准操作规程使用微生物发酵设备进行微生物发酵过程操作的能力；</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16．具有生物药品和生物制品分离纯化操作能力；</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17．具有依据生产工艺规程完成典型制剂生产的能力；</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18．具有疫苗培养基生产操作的能力；</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19．具有根据生物药物不同类别实施药物检测的能力；</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20．具有依据绿色生产、环境保护、安全防护、质量管理等相关政策要求及医药行业法律法规，从事生物制药职业活动的能力；</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8．具有适应生物制药产业数字化发展需求的数字技术应用能力；</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9．具有终身学习和可持续发展的能力</w:t>
      </w:r>
      <w:r>
        <w:rPr>
          <w:rFonts w:hint="eastAsia" w:ascii="仿宋" w:hAnsi="仿宋" w:eastAsia="仿宋" w:cs="仿宋"/>
          <w:color w:val="auto"/>
          <w:sz w:val="32"/>
          <w:szCs w:val="32"/>
          <w:lang w:eastAsia="zh-CN"/>
        </w:rPr>
        <w:t>。</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七</w:t>
      </w:r>
      <w:r>
        <w:rPr>
          <w:rFonts w:eastAsia="黑体"/>
          <w:color w:val="auto"/>
          <w:sz w:val="32"/>
          <w:szCs w:val="32"/>
        </w:rPr>
        <w:t>、课程设置及要求</w:t>
      </w:r>
    </w:p>
    <w:p>
      <w:pPr>
        <w:overflowPunct w:val="0"/>
        <w:adjustRightInd w:val="0"/>
        <w:spacing w:line="560" w:lineRule="exact"/>
        <w:ind w:left="740" w:leftChars="200" w:hanging="320" w:hangingChars="100"/>
        <w:outlineLvl w:val="0"/>
        <w:rPr>
          <w:rFonts w:eastAsia="黑体"/>
          <w:color w:val="auto"/>
          <w:sz w:val="32"/>
          <w:szCs w:val="32"/>
        </w:rPr>
      </w:pPr>
      <w:r>
        <w:rPr>
          <w:rFonts w:hint="eastAsia" w:eastAsia="黑体"/>
          <w:color w:val="auto"/>
          <w:sz w:val="32"/>
          <w:szCs w:val="32"/>
        </w:rPr>
        <w:t>（一）公共基础课程</w:t>
      </w:r>
    </w:p>
    <w:p>
      <w:pPr>
        <w:overflowPunct w:val="0"/>
        <w:adjustRightInd w:val="0"/>
        <w:spacing w:line="560" w:lineRule="exact"/>
        <w:ind w:left="630" w:leftChars="300"/>
        <w:outlineLvl w:val="0"/>
        <w:rPr>
          <w:rFonts w:eastAsia="黑体"/>
          <w:color w:val="auto"/>
          <w:sz w:val="32"/>
          <w:szCs w:val="32"/>
        </w:rPr>
      </w:pPr>
      <w:r>
        <w:rPr>
          <w:rFonts w:hint="eastAsia" w:eastAsia="黑体"/>
          <w:color w:val="auto"/>
          <w:sz w:val="32"/>
          <w:szCs w:val="32"/>
        </w:rPr>
        <w:t>1．思想政治</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（1）中国特色社会主义</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本课程</w:t>
      </w:r>
      <w:r>
        <w:rPr>
          <w:rFonts w:ascii="仿宋" w:hAnsi="仿宋" w:eastAsia="仿宋"/>
          <w:color w:val="auto"/>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color w:val="auto"/>
          <w:sz w:val="32"/>
          <w:szCs w:val="32"/>
        </w:rPr>
        <w:t>。</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（2）心理健康与职业生涯</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本课程</w:t>
      </w:r>
      <w:r>
        <w:rPr>
          <w:rFonts w:ascii="仿宋" w:hAnsi="仿宋" w:eastAsia="仿宋"/>
          <w:color w:val="auto"/>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（3）哲学与人生</w:t>
      </w:r>
    </w:p>
    <w:p>
      <w:pPr>
        <w:overflowPunct w:val="0"/>
        <w:adjustRightInd w:val="0"/>
        <w:spacing w:line="560" w:lineRule="exact"/>
        <w:ind w:firstLine="640" w:firstLineChars="200"/>
        <w:outlineLvl w:val="0"/>
        <w:rPr>
          <w:rFonts w:ascii="仿宋" w:hAnsi="仿宋" w:eastAsia="仿宋"/>
          <w:color w:val="auto"/>
          <w:sz w:val="32"/>
          <w:szCs w:val="32"/>
        </w:rPr>
      </w:pPr>
      <w:r>
        <w:rPr>
          <w:rFonts w:ascii="仿宋" w:hAnsi="仿宋" w:eastAsia="仿宋"/>
          <w:color w:val="auto"/>
          <w:sz w:val="32"/>
          <w:szCs w:val="32"/>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r>
        <w:rPr>
          <w:rFonts w:hint="eastAsia" w:ascii="仿宋" w:hAnsi="仿宋" w:eastAsia="仿宋"/>
          <w:color w:val="auto"/>
          <w:sz w:val="32"/>
          <w:szCs w:val="32"/>
        </w:rPr>
        <w:t>。</w:t>
      </w:r>
    </w:p>
    <w:p>
      <w:pPr>
        <w:overflowPunct w:val="0"/>
        <w:adjustRightInd w:val="0"/>
        <w:spacing w:line="560" w:lineRule="exact"/>
        <w:ind w:left="630" w:leftChars="300"/>
        <w:outlineLvl w:val="0"/>
        <w:rPr>
          <w:rFonts w:ascii="仿宋" w:hAnsi="仿宋" w:eastAsia="仿宋"/>
          <w:color w:val="auto"/>
          <w:sz w:val="32"/>
          <w:szCs w:val="32"/>
        </w:rPr>
      </w:pPr>
      <w:r>
        <w:rPr>
          <w:rFonts w:hint="eastAsia" w:ascii="仿宋" w:hAnsi="仿宋" w:eastAsia="仿宋"/>
          <w:color w:val="auto"/>
          <w:sz w:val="32"/>
          <w:szCs w:val="32"/>
        </w:rPr>
        <w:t>（4）职业道德与法治</w:t>
      </w:r>
    </w:p>
    <w:p>
      <w:pPr>
        <w:overflowPunct w:val="0"/>
        <w:adjustRightInd w:val="0"/>
        <w:spacing w:line="560" w:lineRule="exact"/>
        <w:ind w:firstLine="640" w:firstLineChars="200"/>
        <w:outlineLvl w:val="0"/>
        <w:rPr>
          <w:rFonts w:ascii="仿宋" w:hAnsi="仿宋" w:eastAsia="仿宋"/>
          <w:color w:val="auto"/>
          <w:sz w:val="32"/>
          <w:szCs w:val="32"/>
        </w:rPr>
      </w:pPr>
      <w:r>
        <w:rPr>
          <w:rFonts w:ascii="仿宋" w:hAnsi="仿宋" w:eastAsia="仿宋"/>
          <w:color w:val="auto"/>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color w:val="auto"/>
          <w:sz w:val="32"/>
          <w:szCs w:val="32"/>
        </w:rPr>
        <w:t>。</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2．语文</w:t>
      </w:r>
    </w:p>
    <w:p>
      <w:pPr>
        <w:overflowPunct w:val="0"/>
        <w:adjustRightIn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通过丰富的言语实践，逐步掌握祖国语言文字特点及其运用规律，形成个体的言语经验，在具体的生活、学习、工作等语言运用情境中，正确理解与运用祖国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口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color w:val="auto"/>
          <w:sz w:val="32"/>
          <w:szCs w:val="32"/>
        </w:rPr>
        <w:t>国家普通话水平测试等级证书</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3．历史</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4．数学</w:t>
      </w:r>
    </w:p>
    <w:p>
      <w:pPr>
        <w:overflowPunct w:val="0"/>
        <w:adjustRightIn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5．英语</w:t>
      </w:r>
    </w:p>
    <w:p>
      <w:pPr>
        <w:overflowPunct w:val="0"/>
        <w:adjustRightIn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6．信息技术</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7．体育与健康</w:t>
      </w:r>
    </w:p>
    <w:p>
      <w:pPr>
        <w:overflowPunct w:val="0"/>
        <w:adjustRightInd w:val="0"/>
        <w:spacing w:line="560" w:lineRule="exact"/>
        <w:outlineLvl w:val="0"/>
        <w:rPr>
          <w:rFonts w:ascii="仿宋" w:hAnsi="仿宋" w:eastAsia="仿宋"/>
          <w:color w:val="auto"/>
          <w:sz w:val="32"/>
          <w:szCs w:val="32"/>
        </w:rPr>
      </w:pPr>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通过学习，学生能够喜爱并积极参与体育运动，享受体育 运动的乐趣；学会锻炼身体的科学方法，掌握1</w:t>
      </w:r>
      <w:r>
        <w:rPr>
          <w:rFonts w:ascii="仿宋" w:hAnsi="仿宋" w:eastAsia="仿宋"/>
          <w:color w:val="auto"/>
          <w:sz w:val="32"/>
          <w:szCs w:val="32"/>
        </w:rPr>
        <w:t>-2</w:t>
      </w:r>
      <w:r>
        <w:rPr>
          <w:rFonts w:hint="eastAsia" w:ascii="仿宋" w:hAnsi="仿宋" w:eastAsia="仿宋"/>
          <w:color w:val="auto"/>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8．艺术</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（1）音乐欣赏</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参与音乐鉴赏与实践活动，学习有关知识和技能，认识音乐的基本功能与作用，获得精神愉悦，提高审判情趣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（2）美术欣赏</w:t>
      </w:r>
    </w:p>
    <w:p>
      <w:pPr>
        <w:overflowPunct w:val="0"/>
        <w:adjustRightInd w:val="0"/>
        <w:spacing w:line="560" w:lineRule="exact"/>
        <w:ind w:firstLine="640" w:firstLineChars="200"/>
        <w:outlineLvl w:val="0"/>
        <w:rPr>
          <w:rFonts w:ascii="仿宋" w:hAnsi="仿宋" w:eastAsia="仿宋"/>
          <w:color w:val="auto"/>
          <w:sz w:val="32"/>
          <w:szCs w:val="32"/>
        </w:rPr>
      </w:pPr>
      <w:r>
        <w:rPr>
          <w:rFonts w:ascii="仿宋" w:hAnsi="仿宋" w:eastAsia="仿宋"/>
          <w:color w:val="auto"/>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color w:val="auto"/>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（3）书法</w:t>
      </w:r>
    </w:p>
    <w:p>
      <w:pPr>
        <w:overflowPunct w:val="0"/>
        <w:adjustRightIn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了解中国书画基础知识与技法，熟悉中国书画的大致分类。赏析中国书画经典作品，认识中国传统艺术风格，感情中国书画所蕴含的思想情感、审美意趣和民族精神，提高审美能力和文化品位。通过软、硬笔习字练习，掌握楷书、行书的基本运笔与技巧，养成良好的书写习惯，提高书写能力，提升自我修养。</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（4）礼乐修身</w:t>
      </w:r>
    </w:p>
    <w:p>
      <w:pPr>
        <w:overflowPunct w:val="0"/>
        <w:adjustRightIn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通过学习社交礼仪常识、各种情境的礼仪训练，掌握必备 的礼仪知识和技能，领会礼仪的核心精神，提高艺术审美和鉴赏能力，弘扬中华优秀传统美德，做到知行合一。</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9．劳动教育</w:t>
      </w:r>
    </w:p>
    <w:p>
      <w:pPr>
        <w:overflowPunct w:val="0"/>
        <w:adjustRightInd w:val="0"/>
        <w:spacing w:line="560" w:lineRule="exact"/>
        <w:ind w:firstLine="640" w:firstLineChars="200"/>
        <w:outlineLvl w:val="0"/>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培育学生积极向上的劳动精神和认真负责的劳动态度。。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0</w:t>
      </w:r>
      <w:r>
        <w:rPr>
          <w:rFonts w:hint="eastAsia" w:ascii="仿宋" w:hAnsi="仿宋" w:eastAsia="仿宋"/>
          <w:color w:val="auto"/>
          <w:sz w:val="32"/>
          <w:szCs w:val="32"/>
        </w:rPr>
        <w:t>．军事训练</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1</w:t>
      </w:r>
      <w:r>
        <w:rPr>
          <w:rFonts w:hint="eastAsia" w:ascii="仿宋" w:hAnsi="仿宋" w:eastAsia="仿宋"/>
          <w:color w:val="auto"/>
          <w:sz w:val="32"/>
          <w:szCs w:val="32"/>
        </w:rPr>
        <w:t>．就业指导</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本课程是中等职业学校学生必修的一门德育课程，旨在对学生进行职业就业指导。其任务是：学生应了解职业、职业素质、职业道德、职业个性、职业选择、职业理想的基本知识与要求，树立正确的职业理想；学会依据社会发展、职业需求和个人特点进行职业生涯设计的方法；增强提高自身全面素质、自主择业、立业创业的自觉性。</w:t>
      </w:r>
    </w:p>
    <w:p>
      <w:pPr>
        <w:overflowPunct w:val="0"/>
        <w:adjustRightIn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2</w:t>
      </w:r>
      <w:r>
        <w:rPr>
          <w:rFonts w:hint="eastAsia" w:ascii="仿宋" w:hAnsi="仿宋" w:eastAsia="仿宋"/>
          <w:color w:val="auto"/>
          <w:sz w:val="32"/>
          <w:szCs w:val="32"/>
        </w:rPr>
        <w:t>．职业能力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课程主要讲述思想政治基础理论、时事政治、科技常识、文学常识、艺术知识、安全常识等内容，提高学生思想道德素质、科学素质、人文素质等综合素质，培养学生理解、交流、科学思维、应用分析、艺术审美等方面的能力，挖掘学生处理事物的能力，提升职业适应性。</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（二）专业基础课程</w:t>
      </w:r>
    </w:p>
    <w:p>
      <w:pPr>
        <w:numPr>
          <w:ilvl w:val="0"/>
          <w:numId w:val="0"/>
        </w:num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1.药用基础化学</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w:t>
      </w:r>
      <w:r>
        <w:rPr>
          <w:rFonts w:hint="default" w:ascii="仿宋" w:hAnsi="仿宋" w:eastAsia="仿宋"/>
          <w:color w:val="auto"/>
          <w:sz w:val="32"/>
          <w:szCs w:val="32"/>
          <w:lang w:val="en-US" w:eastAsia="zh-CN"/>
        </w:rPr>
        <w:t>物质的组成、结构、性质及其变化规律；培养学生的化学学科核心素养，使学生获得必备的化学基础知识、基本技能和基本方法，认识物质变化规律，养成发现、分析、解决化学相关问题的能力；培养学生精益求精的工匠精神、严谨求实的科学态度和勇于开拓的创新意识；引领学生逐步形成正确的世界观、人生观和价值观，自觉践行社会主义核心价值观，成为德智体美劳全面发展的高素质劳动者和技术技能人才</w:t>
      </w:r>
      <w:r>
        <w:rPr>
          <w:rFonts w:hint="eastAsia" w:ascii="仿宋" w:hAnsi="仿宋" w:eastAsia="仿宋"/>
          <w:color w:val="auto"/>
          <w:sz w:val="32"/>
          <w:szCs w:val="32"/>
          <w:lang w:val="en-US" w:eastAsia="zh-CN"/>
        </w:rPr>
        <w:t>。</w:t>
      </w:r>
    </w:p>
    <w:p>
      <w:pPr>
        <w:widowControl w:val="0"/>
        <w:numPr>
          <w:ilvl w:val="0"/>
          <w:numId w:val="0"/>
        </w:numPr>
        <w:spacing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2.微生物基础</w:t>
      </w:r>
    </w:p>
    <w:p>
      <w:pPr>
        <w:widowControl w:val="0"/>
        <w:numPr>
          <w:ilvl w:val="0"/>
          <w:numId w:val="0"/>
        </w:numPr>
        <w:spacing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w:t>
      </w:r>
      <w:r>
        <w:rPr>
          <w:rFonts w:hint="default" w:ascii="仿宋" w:hAnsi="仿宋" w:eastAsia="仿宋"/>
          <w:color w:val="auto"/>
          <w:sz w:val="32"/>
          <w:szCs w:val="32"/>
          <w:lang w:val="en-US" w:eastAsia="zh-CN"/>
        </w:rPr>
        <w:t>微生物基础理论</w:t>
      </w:r>
      <w:r>
        <w:rPr>
          <w:rFonts w:hint="eastAsia" w:ascii="仿宋" w:hAnsi="仿宋" w:eastAsia="仿宋"/>
          <w:color w:val="auto"/>
          <w:sz w:val="32"/>
          <w:szCs w:val="32"/>
          <w:lang w:val="en-US" w:eastAsia="zh-CN"/>
        </w:rPr>
        <w:t>，包括</w:t>
      </w:r>
      <w:r>
        <w:rPr>
          <w:rFonts w:hint="default" w:ascii="仿宋" w:hAnsi="仿宋" w:eastAsia="仿宋"/>
          <w:color w:val="auto"/>
          <w:sz w:val="32"/>
          <w:szCs w:val="32"/>
          <w:lang w:val="en-US" w:eastAsia="zh-CN"/>
        </w:rPr>
        <w:t>各类微生物形态、群体特征、营养、代谢、生长、遗传变异、传染免疫和微生物的生态；掌握微生物实验</w:t>
      </w:r>
      <w:r>
        <w:rPr>
          <w:rFonts w:hint="eastAsia" w:ascii="仿宋" w:hAnsi="仿宋" w:eastAsia="仿宋"/>
          <w:color w:val="auto"/>
          <w:sz w:val="32"/>
          <w:szCs w:val="32"/>
          <w:lang w:val="en-US" w:eastAsia="zh-CN"/>
        </w:rPr>
        <w:t>，包括</w:t>
      </w:r>
      <w:r>
        <w:rPr>
          <w:rFonts w:hint="default" w:ascii="仿宋" w:hAnsi="仿宋" w:eastAsia="仿宋"/>
          <w:color w:val="auto"/>
          <w:sz w:val="32"/>
          <w:szCs w:val="32"/>
          <w:lang w:val="en-US" w:eastAsia="zh-CN"/>
        </w:rPr>
        <w:t>纯培养技术、形态观察及微生物测定及消毒灭菌实验</w:t>
      </w:r>
      <w:r>
        <w:rPr>
          <w:rFonts w:hint="eastAsia" w:ascii="仿宋" w:hAnsi="仿宋" w:eastAsia="仿宋"/>
          <w:color w:val="auto"/>
          <w:sz w:val="32"/>
          <w:szCs w:val="32"/>
          <w:lang w:val="en-US" w:eastAsia="zh-CN"/>
        </w:rPr>
        <w:t>，培养学生学生精益求精的工匠精神、严谨求实的科学态度和勇于开拓的创新意识。</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3.化工生产单元操作</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本课程主要讲述生产过程中常见的单元操作过程及设备，使学生学习各种操作的基本原理、典型设备的构造和性能，培养学生工程观点与核心实践技能的重要课程，</w:t>
      </w:r>
      <w:r>
        <w:rPr>
          <w:rFonts w:hint="default" w:ascii="仿宋" w:hAnsi="仿宋" w:eastAsia="仿宋"/>
          <w:color w:val="auto"/>
          <w:sz w:val="32"/>
          <w:szCs w:val="32"/>
          <w:lang w:val="en-US" w:eastAsia="zh-CN"/>
        </w:rPr>
        <w:t>培养学生精益求精的工匠精神、严谨求实的科学态度和勇于开拓的创新意识</w:t>
      </w:r>
      <w:r>
        <w:rPr>
          <w:rFonts w:hint="eastAsia" w:ascii="仿宋" w:hAnsi="仿宋" w:eastAsia="仿宋"/>
          <w:color w:val="auto"/>
          <w:sz w:val="32"/>
          <w:szCs w:val="32"/>
          <w:lang w:val="en-US" w:eastAsia="zh-CN"/>
        </w:rPr>
        <w:t>，具备运用工程观点解决制药生产中实际问题的基础能力。</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4.生物化学</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构成生物体的各类化学物质的结构、性质、功能、代谢、基因表达及调控等方面的基本理论、基本规律、基本概念有全面、系统的认识，牢固掌握生物化学与分子生物学中有关的基本原理，学会正确、科学地观察实验现象、记录实验结果、分析实验数据，掌握实验报告的正确书写方法。培养观察、分析、综合解决问题的能力，培养学生拥有一定的科学研究意识，具备科学严谨的工作态度和实事求是的工作作风。</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5.药事管理与法规</w:t>
      </w:r>
    </w:p>
    <w:p>
      <w:pPr>
        <w:widowControl w:val="0"/>
        <w:numPr>
          <w:ilvl w:val="0"/>
          <w:numId w:val="0"/>
        </w:numPr>
        <w:spacing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w:t>
      </w:r>
      <w:r>
        <w:rPr>
          <w:rFonts w:hint="eastAsia" w:ascii="仿宋" w:hAnsi="仿宋" w:eastAsia="仿宋"/>
          <w:color w:val="auto"/>
          <w:sz w:val="32"/>
          <w:szCs w:val="32"/>
        </w:rPr>
        <w:t>药品的研制、生产、流通、使用、价格及广告等活动相关的事项；新药、中药、现代药、特殊药品的管理， GMP、GSP及药品管理立法，药品的商标、广告、价格等方面的知识</w:t>
      </w:r>
      <w:r>
        <w:rPr>
          <w:rFonts w:hint="eastAsia" w:ascii="仿宋" w:hAnsi="仿宋" w:eastAsia="仿宋"/>
          <w:color w:val="auto"/>
          <w:sz w:val="32"/>
          <w:szCs w:val="32"/>
          <w:lang w:eastAsia="zh-CN"/>
        </w:rPr>
        <w:t>，培养学生培养学生运用药事管理相关法规处理各种药学实践中遇到的实际问题的能力；具有从事药品研发、生产、经营、使用等工作的基本能力；培养学生具备保障药品质量及管理的能力。</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（三）专业核心课程</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1.生物制药工艺</w:t>
      </w:r>
    </w:p>
    <w:p>
      <w:pPr>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本课程主要讲述生物</w:t>
      </w:r>
      <w:r>
        <w:rPr>
          <w:rFonts w:hint="eastAsia" w:ascii="仿宋" w:hAnsi="仿宋" w:eastAsia="仿宋"/>
          <w:color w:val="auto"/>
          <w:sz w:val="32"/>
          <w:szCs w:val="32"/>
        </w:rPr>
        <w:t>制药工艺的基础知识</w:t>
      </w:r>
      <w:r>
        <w:rPr>
          <w:rFonts w:hint="eastAsia" w:ascii="仿宋" w:hAnsi="仿宋" w:eastAsia="仿宋"/>
          <w:color w:val="auto"/>
          <w:sz w:val="32"/>
          <w:szCs w:val="32"/>
          <w:lang w:eastAsia="zh-CN"/>
        </w:rPr>
        <w:t>、</w:t>
      </w:r>
      <w:r>
        <w:rPr>
          <w:rFonts w:hint="eastAsia" w:ascii="仿宋" w:hAnsi="仿宋" w:eastAsia="仿宋"/>
          <w:color w:val="auto"/>
          <w:sz w:val="32"/>
          <w:szCs w:val="32"/>
        </w:rPr>
        <w:t>药物合成路线设计的基本方法、反应条件和影响因素</w:t>
      </w:r>
      <w:r>
        <w:rPr>
          <w:rFonts w:hint="eastAsia" w:ascii="仿宋" w:hAnsi="仿宋" w:eastAsia="仿宋"/>
          <w:color w:val="auto"/>
          <w:sz w:val="32"/>
          <w:szCs w:val="32"/>
          <w:lang w:eastAsia="zh-CN"/>
        </w:rPr>
        <w:t>及生物</w:t>
      </w:r>
      <w:r>
        <w:rPr>
          <w:rFonts w:hint="eastAsia" w:ascii="仿宋" w:hAnsi="仿宋" w:eastAsia="仿宋"/>
          <w:color w:val="auto"/>
          <w:sz w:val="32"/>
          <w:szCs w:val="32"/>
        </w:rPr>
        <w:t>制药工艺优化的方法；</w:t>
      </w:r>
      <w:r>
        <w:rPr>
          <w:rFonts w:hint="eastAsia" w:ascii="仿宋" w:hAnsi="仿宋" w:eastAsia="仿宋"/>
          <w:color w:val="auto"/>
          <w:sz w:val="32"/>
          <w:szCs w:val="32"/>
          <w:lang w:eastAsia="zh-CN"/>
        </w:rPr>
        <w:t>使学生</w:t>
      </w:r>
      <w:r>
        <w:rPr>
          <w:rFonts w:hint="eastAsia" w:ascii="仿宋" w:hAnsi="仿宋" w:eastAsia="仿宋"/>
          <w:color w:val="auto"/>
          <w:sz w:val="32"/>
          <w:szCs w:val="32"/>
        </w:rPr>
        <w:t>熟悉工艺规程的作用和制订方法</w:t>
      </w:r>
      <w:r>
        <w:rPr>
          <w:rFonts w:hint="eastAsia" w:ascii="仿宋" w:hAnsi="仿宋" w:eastAsia="仿宋"/>
          <w:color w:val="auto"/>
          <w:sz w:val="32"/>
          <w:szCs w:val="32"/>
          <w:lang w:eastAsia="zh-CN"/>
        </w:rPr>
        <w:t>、</w:t>
      </w:r>
      <w:r>
        <w:rPr>
          <w:rFonts w:hint="eastAsia" w:ascii="仿宋" w:hAnsi="仿宋" w:eastAsia="仿宋"/>
          <w:color w:val="auto"/>
          <w:sz w:val="32"/>
          <w:szCs w:val="32"/>
        </w:rPr>
        <w:t>典型代表药物的生产工艺流程及生产工艺规程</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培养学生工程观点与核心实践技能的重要课程，</w:t>
      </w:r>
      <w:r>
        <w:rPr>
          <w:rFonts w:hint="default" w:ascii="仿宋" w:hAnsi="仿宋" w:eastAsia="仿宋"/>
          <w:color w:val="auto"/>
          <w:sz w:val="32"/>
          <w:szCs w:val="32"/>
          <w:lang w:val="en-US" w:eastAsia="zh-CN"/>
        </w:rPr>
        <w:t>培养学生精益求精的工匠精神、严谨求实的科学态度和勇于开拓的创新意识</w:t>
      </w:r>
      <w:r>
        <w:rPr>
          <w:rFonts w:hint="eastAsia" w:ascii="仿宋" w:hAnsi="仿宋" w:eastAsia="仿宋"/>
          <w:color w:val="auto"/>
          <w:sz w:val="32"/>
          <w:szCs w:val="32"/>
          <w:lang w:val="en-US" w:eastAsia="zh-CN"/>
        </w:rPr>
        <w:t>。</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2.生物药物制剂</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本课程主要讲述GMP 对药品生产的要求和实施方法，会按照SOP 要求进行洁净服的更换，会进行灭菌操作、贴标、包装操作，会按规程正确填写各项生产记录，培养学生精益求精的工匠精神、严谨求实的科学态度和勇于开拓的创新意识。</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3.生物发酵技术</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 GMP 对药品生产的要求和实施方法，掌握生化药品制造的有关基础理论知识。能进行生化药品制造技能的基本操作。学生能观察、记录、分析、处理实验结果。能进行简单的设备维护和安全生产防护工作。知道种子制备，会无菌操作，显微镜使用，消毒锅使用；知道培养基灭菌的方法，会根据配方进行培养基配制，会发酵培养基消毒灭菌；知道发酵过程生产控制，会发酵 pH、温度控制，会补料、移种；知道发酵过程质量控制，会测定发酵液中的糖、氮。培养学生精益求精的工匠精神、严谨求实的科学态度。</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4.生物药物分析与检测</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本课程主要讲述掌握药品检验的 GMP 要求和实施方法；熟悉中国药典和国外药典有关生物药物分析检测的方法和技术；会样品的外观检测、不溶微粒检测、含糖量、pH 检测、水分检测、渗透压检测、电导检测、装量差异检测、蛋白浓度检测、电泳的操作，</w:t>
      </w:r>
      <w:r>
        <w:rPr>
          <w:rFonts w:hint="default" w:ascii="仿宋" w:hAnsi="仿宋" w:eastAsia="仿宋"/>
          <w:color w:val="auto"/>
          <w:sz w:val="32"/>
          <w:szCs w:val="32"/>
          <w:lang w:val="en-US" w:eastAsia="zh-CN"/>
        </w:rPr>
        <w:t>使学生获得必备的</w:t>
      </w:r>
      <w:r>
        <w:rPr>
          <w:rFonts w:hint="eastAsia" w:ascii="仿宋" w:hAnsi="仿宋" w:eastAsia="仿宋"/>
          <w:color w:val="auto"/>
          <w:sz w:val="32"/>
          <w:szCs w:val="32"/>
          <w:lang w:val="en-US" w:eastAsia="zh-CN"/>
        </w:rPr>
        <w:t>药物检测的</w:t>
      </w:r>
      <w:r>
        <w:rPr>
          <w:rFonts w:hint="default" w:ascii="仿宋" w:hAnsi="仿宋" w:eastAsia="仿宋"/>
          <w:color w:val="auto"/>
          <w:sz w:val="32"/>
          <w:szCs w:val="32"/>
          <w:lang w:val="en-US" w:eastAsia="zh-CN"/>
        </w:rPr>
        <w:t>基础知识、基本技能和基本方法，培养学生精益求精的工匠精神、严谨求实的科学态度</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5.制药设备安装与调试</w:t>
      </w:r>
    </w:p>
    <w:p>
      <w:pPr>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本课程主要讲述</w:t>
      </w:r>
      <w:r>
        <w:rPr>
          <w:rFonts w:hint="eastAsia" w:ascii="仿宋" w:hAnsi="仿宋" w:eastAsia="仿宋"/>
          <w:color w:val="auto"/>
          <w:sz w:val="32"/>
          <w:szCs w:val="32"/>
        </w:rPr>
        <w:t>制药设备及技术的有关规定</w:t>
      </w:r>
      <w:r>
        <w:rPr>
          <w:rFonts w:hint="eastAsia" w:ascii="仿宋" w:hAnsi="仿宋" w:eastAsia="仿宋"/>
          <w:color w:val="auto"/>
          <w:sz w:val="32"/>
          <w:szCs w:val="32"/>
          <w:lang w:eastAsia="zh-CN"/>
        </w:rPr>
        <w:t>、</w:t>
      </w:r>
      <w:r>
        <w:rPr>
          <w:rFonts w:hint="eastAsia" w:ascii="仿宋" w:hAnsi="仿宋" w:eastAsia="仿宋"/>
          <w:color w:val="auto"/>
          <w:sz w:val="32"/>
          <w:szCs w:val="32"/>
        </w:rPr>
        <w:t>制药设备材料、阀门基本知识及其应用；</w:t>
      </w:r>
      <w:r>
        <w:rPr>
          <w:rFonts w:hint="eastAsia" w:ascii="仿宋" w:hAnsi="仿宋" w:eastAsia="仿宋"/>
          <w:color w:val="auto"/>
          <w:sz w:val="32"/>
          <w:szCs w:val="32"/>
          <w:lang w:eastAsia="zh-CN"/>
        </w:rPr>
        <w:t>使学生掌握</w:t>
      </w:r>
      <w:r>
        <w:rPr>
          <w:rFonts w:hint="eastAsia" w:ascii="仿宋" w:hAnsi="仿宋" w:eastAsia="仿宋"/>
          <w:color w:val="auto"/>
          <w:sz w:val="32"/>
          <w:szCs w:val="32"/>
        </w:rPr>
        <w:t>原料药反应过程设备、药物的分离与提取设备、药物制剂生产设备、口服制剂生产设备原理和特点。</w:t>
      </w:r>
      <w:r>
        <w:rPr>
          <w:rFonts w:hint="eastAsia" w:ascii="仿宋" w:hAnsi="仿宋" w:eastAsia="仿宋"/>
          <w:color w:val="auto"/>
          <w:sz w:val="32"/>
          <w:szCs w:val="32"/>
          <w:lang w:eastAsia="zh-CN"/>
        </w:rPr>
        <w:t>培养学生</w:t>
      </w:r>
      <w:r>
        <w:rPr>
          <w:rFonts w:hint="eastAsia" w:ascii="仿宋" w:hAnsi="仿宋" w:eastAsia="仿宋"/>
          <w:color w:val="auto"/>
          <w:sz w:val="32"/>
          <w:szCs w:val="32"/>
        </w:rPr>
        <w:t>识读和分析制药设备的剖面图与工艺流程图</w:t>
      </w:r>
      <w:r>
        <w:rPr>
          <w:rFonts w:hint="eastAsia" w:ascii="仿宋" w:hAnsi="仿宋" w:eastAsia="仿宋"/>
          <w:color w:val="auto"/>
          <w:sz w:val="32"/>
          <w:szCs w:val="32"/>
          <w:lang w:eastAsia="zh-CN"/>
        </w:rPr>
        <w:t>的能力。</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6.药理学</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本课程主要讲述</w:t>
      </w:r>
      <w:r>
        <w:rPr>
          <w:rFonts w:hint="eastAsia" w:ascii="仿宋" w:hAnsi="仿宋" w:eastAsia="仿宋"/>
          <w:color w:val="auto"/>
          <w:sz w:val="32"/>
          <w:szCs w:val="32"/>
        </w:rPr>
        <w:t>药理学基本知识和基本概念；理解合理用药防治疾病的理论根据，融会贯通；</w:t>
      </w:r>
      <w:r>
        <w:rPr>
          <w:rFonts w:hint="eastAsia" w:ascii="仿宋" w:hAnsi="仿宋" w:eastAsia="仿宋"/>
          <w:color w:val="auto"/>
          <w:sz w:val="32"/>
          <w:szCs w:val="32"/>
          <w:lang w:eastAsia="zh-CN"/>
        </w:rPr>
        <w:t>使学生掌握</w:t>
      </w:r>
      <w:r>
        <w:rPr>
          <w:rFonts w:hint="eastAsia" w:ascii="仿宋" w:hAnsi="仿宋" w:eastAsia="仿宋"/>
          <w:color w:val="auto"/>
          <w:sz w:val="32"/>
          <w:szCs w:val="32"/>
        </w:rPr>
        <w:t>常用药物的作用和临床应用不良反应及防治</w:t>
      </w:r>
      <w:r>
        <w:rPr>
          <w:rFonts w:hint="eastAsia" w:ascii="仿宋" w:hAnsi="仿宋" w:eastAsia="仿宋"/>
          <w:color w:val="auto"/>
          <w:sz w:val="32"/>
          <w:szCs w:val="32"/>
          <w:lang w:eastAsia="zh-CN"/>
        </w:rPr>
        <w:t>，培养学生</w:t>
      </w:r>
      <w:r>
        <w:rPr>
          <w:rFonts w:hint="eastAsia" w:ascii="仿宋" w:hAnsi="仿宋" w:eastAsia="仿宋"/>
          <w:color w:val="auto"/>
          <w:sz w:val="32"/>
          <w:szCs w:val="32"/>
        </w:rPr>
        <w:t>一定的临床合理用药的能力。</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7.制药企业安全生产与健康防护</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w:t>
      </w:r>
      <w:r>
        <w:rPr>
          <w:rFonts w:hint="default" w:ascii="仿宋" w:hAnsi="仿宋" w:eastAsia="仿宋"/>
          <w:color w:val="auto"/>
          <w:sz w:val="32"/>
          <w:szCs w:val="32"/>
          <w:lang w:val="en-US" w:eastAsia="zh-CN"/>
        </w:rPr>
        <w:t>药品生产中QHSE管理体系的基本概念、术语、基本要素、内容和作用</w:t>
      </w:r>
      <w:r>
        <w:rPr>
          <w:rFonts w:hint="eastAsia" w:ascii="仿宋" w:hAnsi="仿宋" w:eastAsia="仿宋"/>
          <w:color w:val="auto"/>
          <w:sz w:val="32"/>
          <w:szCs w:val="32"/>
          <w:lang w:val="en-US" w:eastAsia="zh-CN"/>
        </w:rPr>
        <w:t>；</w:t>
      </w:r>
      <w:r>
        <w:rPr>
          <w:rFonts w:hint="default" w:ascii="仿宋" w:hAnsi="仿宋" w:eastAsia="仿宋"/>
          <w:color w:val="auto"/>
          <w:sz w:val="32"/>
          <w:szCs w:val="32"/>
          <w:lang w:val="en-US" w:eastAsia="zh-CN"/>
        </w:rPr>
        <w:t>QHSE管理体系建立的程序</w:t>
      </w:r>
      <w:r>
        <w:rPr>
          <w:rFonts w:hint="eastAsia" w:ascii="仿宋" w:hAnsi="仿宋" w:eastAsia="仿宋"/>
          <w:color w:val="auto"/>
          <w:sz w:val="32"/>
          <w:szCs w:val="32"/>
          <w:lang w:val="en-US" w:eastAsia="zh-CN"/>
        </w:rPr>
        <w:t>及</w:t>
      </w:r>
      <w:r>
        <w:rPr>
          <w:rFonts w:hint="default" w:ascii="仿宋" w:hAnsi="仿宋" w:eastAsia="仿宋"/>
          <w:color w:val="auto"/>
          <w:sz w:val="32"/>
          <w:szCs w:val="32"/>
          <w:lang w:val="en-US" w:eastAsia="zh-CN"/>
        </w:rPr>
        <w:t>QHSE操作实务；</w:t>
      </w:r>
      <w:r>
        <w:rPr>
          <w:rFonts w:hint="eastAsia" w:ascii="仿宋" w:hAnsi="仿宋" w:eastAsia="仿宋"/>
          <w:color w:val="auto"/>
          <w:sz w:val="32"/>
          <w:szCs w:val="32"/>
          <w:lang w:val="en-US" w:eastAsia="zh-CN"/>
        </w:rPr>
        <w:t>培养学生的</w:t>
      </w:r>
      <w:r>
        <w:rPr>
          <w:rFonts w:hint="default" w:ascii="仿宋" w:hAnsi="仿宋" w:eastAsia="仿宋"/>
          <w:color w:val="auto"/>
          <w:sz w:val="32"/>
          <w:szCs w:val="32"/>
          <w:lang w:val="en-US" w:eastAsia="zh-CN"/>
        </w:rPr>
        <w:t>安全</w:t>
      </w:r>
      <w:r>
        <w:rPr>
          <w:rFonts w:hint="eastAsia" w:ascii="仿宋" w:hAnsi="仿宋" w:eastAsia="仿宋"/>
          <w:color w:val="auto"/>
          <w:sz w:val="32"/>
          <w:szCs w:val="32"/>
          <w:lang w:val="en-US" w:eastAsia="zh-CN"/>
        </w:rPr>
        <w:t>意</w:t>
      </w:r>
      <w:r>
        <w:rPr>
          <w:rFonts w:hint="default" w:ascii="仿宋" w:hAnsi="仿宋" w:eastAsia="仿宋"/>
          <w:color w:val="auto"/>
          <w:sz w:val="32"/>
          <w:szCs w:val="32"/>
          <w:lang w:val="en-US" w:eastAsia="zh-CN"/>
        </w:rPr>
        <w:t>识和防护技能，以及常见职业病预防和急救；引领学生逐步形成清洁生产</w:t>
      </w:r>
      <w:r>
        <w:rPr>
          <w:rFonts w:hint="eastAsia" w:ascii="仿宋" w:hAnsi="仿宋" w:eastAsia="仿宋"/>
          <w:color w:val="auto"/>
          <w:sz w:val="32"/>
          <w:szCs w:val="32"/>
          <w:lang w:val="en-US" w:eastAsia="zh-CN"/>
        </w:rPr>
        <w:t>的理念。</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（四）专业拓展课程</w:t>
      </w:r>
    </w:p>
    <w:p>
      <w:pPr>
        <w:spacing w:line="56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1.职业能力</w:t>
      </w:r>
    </w:p>
    <w:p>
      <w:pPr>
        <w:spacing w:line="560" w:lineRule="exact"/>
        <w:ind w:firstLine="640" w:firstLineChars="200"/>
        <w:rPr>
          <w:rFonts w:hint="eastAsia" w:ascii="仿宋" w:hAnsi="仿宋" w:eastAsia="仿宋" w:cs="仿宋"/>
          <w:b/>
          <w:bCs/>
          <w:color w:val="auto"/>
          <w:sz w:val="32"/>
          <w:szCs w:val="32"/>
        </w:rPr>
      </w:pPr>
      <w:r>
        <w:rPr>
          <w:rFonts w:hint="eastAsia" w:ascii="仿宋" w:hAnsi="仿宋" w:eastAsia="仿宋"/>
          <w:color w:val="auto"/>
          <w:sz w:val="32"/>
          <w:szCs w:val="32"/>
          <w:lang w:val="en-US" w:eastAsia="zh-CN"/>
        </w:rPr>
        <w:t>本课程主要讲述</w:t>
      </w:r>
      <w:r>
        <w:rPr>
          <w:rFonts w:hint="eastAsia" w:ascii="仿宋" w:hAnsi="仿宋" w:eastAsia="仿宋" w:cs="仿宋"/>
          <w:color w:val="auto"/>
          <w:sz w:val="32"/>
          <w:szCs w:val="32"/>
          <w:lang w:val="en-US" w:eastAsia="zh-CN"/>
        </w:rPr>
        <w:t>科技常识、人文常识、时事政治、专业基础知识等，培养学生养成良好的自学习惯，能自主查阅技术资料的能力，能够解决实际工作中的各种难题。</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2.药物制剂生产</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学生药品质量管理应知应会基本知识，具备相关仪器设备的清洁、使用和基本维护能力，物料管理基本能力，能从事口服固体制剂实际生产工作的能力，主要为学生参加药物制剂生产职业技能等级证书进行培训，全面提升药物制剂相关从业人员的职业技能水平。</w:t>
      </w:r>
    </w:p>
    <w:p>
      <w:pPr>
        <w:overflowPunct w:val="0"/>
        <w:adjustRightInd w:val="0"/>
        <w:ind w:firstLine="640" w:firstLineChars="200"/>
        <w:outlineLvl w:val="0"/>
        <w:rPr>
          <w:rFonts w:eastAsia="黑体"/>
          <w:color w:val="auto"/>
          <w:sz w:val="32"/>
          <w:szCs w:val="32"/>
        </w:rPr>
      </w:pPr>
      <w:r>
        <w:rPr>
          <w:rFonts w:hint="eastAsia" w:eastAsia="黑体"/>
          <w:color w:val="auto"/>
          <w:sz w:val="32"/>
          <w:szCs w:val="32"/>
        </w:rPr>
        <w:t>八</w:t>
      </w:r>
      <w:r>
        <w:rPr>
          <w:rFonts w:eastAsia="黑体"/>
          <w:color w:val="auto"/>
          <w:sz w:val="32"/>
          <w:szCs w:val="32"/>
        </w:rPr>
        <w:t>、教学进程总体安排</w:t>
      </w:r>
    </w:p>
    <w:tbl>
      <w:tblPr>
        <w:tblStyle w:val="6"/>
        <w:tblW w:w="9177" w:type="dxa"/>
        <w:tblInd w:w="0" w:type="dxa"/>
        <w:tblLayout w:type="autofit"/>
        <w:tblCellMar>
          <w:top w:w="0" w:type="dxa"/>
          <w:left w:w="108" w:type="dxa"/>
          <w:bottom w:w="0" w:type="dxa"/>
          <w:right w:w="108" w:type="dxa"/>
        </w:tblCellMar>
      </w:tblPr>
      <w:tblGrid>
        <w:gridCol w:w="818"/>
        <w:gridCol w:w="865"/>
        <w:gridCol w:w="2304"/>
        <w:gridCol w:w="436"/>
        <w:gridCol w:w="436"/>
        <w:gridCol w:w="436"/>
        <w:gridCol w:w="436"/>
        <w:gridCol w:w="436"/>
        <w:gridCol w:w="436"/>
        <w:gridCol w:w="928"/>
        <w:gridCol w:w="802"/>
        <w:gridCol w:w="844"/>
      </w:tblGrid>
      <w:tr>
        <w:tblPrEx>
          <w:tblCellMar>
            <w:top w:w="0" w:type="dxa"/>
            <w:left w:w="108" w:type="dxa"/>
            <w:bottom w:w="0" w:type="dxa"/>
            <w:right w:w="108" w:type="dxa"/>
          </w:tblCellMar>
        </w:tblPrEx>
        <w:trPr>
          <w:trHeight w:val="454" w:hRule="atLeast"/>
        </w:trPr>
        <w:tc>
          <w:tcPr>
            <w:tcW w:w="9177" w:type="dxa"/>
            <w:gridSpan w:val="12"/>
            <w:tcBorders>
              <w:top w:val="single" w:color="auto" w:sz="4" w:space="0"/>
              <w:left w:val="single" w:color="auto" w:sz="4" w:space="0"/>
              <w:bottom w:val="single" w:color="auto" w:sz="4" w:space="0"/>
              <w:right w:val="single" w:color="000000" w:sz="4" w:space="0"/>
            </w:tcBorders>
            <w:shd w:val="clear" w:color="000000" w:fill="C0C0C0"/>
            <w:noWrap/>
            <w:vAlign w:val="center"/>
          </w:tcPr>
          <w:p>
            <w:pPr>
              <w:widowControl/>
              <w:jc w:val="center"/>
              <w:rPr>
                <w:rFonts w:ascii="宋体" w:hAnsi="宋体" w:cs="宋体"/>
                <w:color w:val="auto"/>
                <w:kern w:val="0"/>
                <w:sz w:val="24"/>
              </w:rPr>
            </w:pPr>
            <w:r>
              <w:rPr>
                <w:color w:val="auto"/>
              </w:rPr>
              <w:br w:type="page"/>
            </w:r>
            <w:r>
              <w:rPr>
                <w:rFonts w:hint="eastAsia" w:ascii="宋体" w:hAnsi="宋体" w:cs="宋体"/>
                <w:color w:val="auto"/>
                <w:kern w:val="0"/>
                <w:sz w:val="24"/>
              </w:rPr>
              <w:t xml:space="preserve">                            </w:t>
            </w:r>
            <w:r>
              <w:rPr>
                <w:rFonts w:hint="eastAsia" w:ascii="宋体" w:hAnsi="宋体" w:cs="宋体"/>
                <w:color w:val="auto"/>
                <w:kern w:val="0"/>
                <w:sz w:val="24"/>
                <w:lang w:eastAsia="zh-CN"/>
              </w:rPr>
              <w:t>生物制药工艺</w:t>
            </w:r>
            <w:r>
              <w:rPr>
                <w:rFonts w:hint="eastAsia" w:ascii="宋体" w:hAnsi="宋体" w:cs="宋体"/>
                <w:color w:val="auto"/>
                <w:kern w:val="0"/>
                <w:sz w:val="24"/>
              </w:rPr>
              <w:t>专业                  202</w:t>
            </w:r>
            <w:r>
              <w:rPr>
                <w:rFonts w:ascii="宋体" w:hAnsi="宋体" w:cs="宋体"/>
                <w:color w:val="auto"/>
                <w:kern w:val="0"/>
                <w:sz w:val="24"/>
              </w:rPr>
              <w:t>2</w:t>
            </w:r>
            <w:r>
              <w:rPr>
                <w:rFonts w:hint="eastAsia" w:ascii="宋体" w:hAnsi="宋体" w:cs="宋体"/>
                <w:color w:val="auto"/>
                <w:kern w:val="0"/>
                <w:sz w:val="24"/>
              </w:rPr>
              <w:t>年9月</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865"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序号</w:t>
            </w:r>
          </w:p>
        </w:tc>
        <w:tc>
          <w:tcPr>
            <w:tcW w:w="2304"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课程名称</w:t>
            </w:r>
          </w:p>
        </w:tc>
        <w:tc>
          <w:tcPr>
            <w:tcW w:w="2616" w:type="dxa"/>
            <w:gridSpan w:val="6"/>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各学期周学时分配</w:t>
            </w:r>
          </w:p>
        </w:tc>
        <w:tc>
          <w:tcPr>
            <w:tcW w:w="928"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总学时</w:t>
            </w:r>
          </w:p>
        </w:tc>
        <w:tc>
          <w:tcPr>
            <w:tcW w:w="1646"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课程类型</w:t>
            </w:r>
          </w:p>
        </w:tc>
      </w:tr>
      <w:tr>
        <w:tblPrEx>
          <w:tblCellMar>
            <w:top w:w="0" w:type="dxa"/>
            <w:left w:w="108" w:type="dxa"/>
            <w:bottom w:w="0" w:type="dxa"/>
            <w:right w:w="108" w:type="dxa"/>
          </w:tblCellMar>
        </w:tblPrEx>
        <w:trPr>
          <w:trHeight w:val="454" w:hRule="atLeast"/>
        </w:trPr>
        <w:tc>
          <w:tcPr>
            <w:tcW w:w="8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23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72"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第一学年</w:t>
            </w:r>
          </w:p>
        </w:tc>
        <w:tc>
          <w:tcPr>
            <w:tcW w:w="872"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第二学年</w:t>
            </w:r>
          </w:p>
        </w:tc>
        <w:tc>
          <w:tcPr>
            <w:tcW w:w="872"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第三学年</w:t>
            </w:r>
          </w:p>
        </w:tc>
        <w:tc>
          <w:tcPr>
            <w:tcW w:w="92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02" w:type="dxa"/>
            <w:vMerge w:val="restart"/>
            <w:tcBorders>
              <w:top w:val="nil"/>
              <w:left w:val="single" w:color="auto" w:sz="4" w:space="0"/>
              <w:bottom w:val="nil"/>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理论</w:t>
            </w:r>
          </w:p>
        </w:tc>
        <w:tc>
          <w:tcPr>
            <w:tcW w:w="844" w:type="dxa"/>
            <w:vMerge w:val="restart"/>
            <w:tcBorders>
              <w:top w:val="nil"/>
              <w:left w:val="single" w:color="auto" w:sz="4" w:space="0"/>
              <w:bottom w:val="nil"/>
              <w:right w:val="single" w:color="auto" w:sz="4" w:space="0"/>
            </w:tcBorders>
            <w:shd w:val="clear" w:color="000000" w:fill="C0C0C0"/>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实践/实习</w:t>
            </w:r>
          </w:p>
        </w:tc>
      </w:tr>
      <w:tr>
        <w:tblPrEx>
          <w:tblCellMar>
            <w:top w:w="0" w:type="dxa"/>
            <w:left w:w="108" w:type="dxa"/>
            <w:bottom w:w="0" w:type="dxa"/>
            <w:right w:w="108" w:type="dxa"/>
          </w:tblCellMar>
        </w:tblPrEx>
        <w:trPr>
          <w:trHeight w:val="454" w:hRule="atLeast"/>
        </w:trPr>
        <w:tc>
          <w:tcPr>
            <w:tcW w:w="8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23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一</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二</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三</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四</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五</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六</w:t>
            </w:r>
          </w:p>
        </w:tc>
        <w:tc>
          <w:tcPr>
            <w:tcW w:w="9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80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rPr>
            </w:pPr>
          </w:p>
        </w:tc>
        <w:tc>
          <w:tcPr>
            <w:tcW w:w="84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语文</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216</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216</w:t>
            </w:r>
          </w:p>
        </w:tc>
        <w:tc>
          <w:tcPr>
            <w:tcW w:w="8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2</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数学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216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color w:val="auto"/>
              </w:rPr>
            </w:pPr>
            <w:r>
              <w:rPr>
                <w:rFonts w:hint="eastAsia" w:ascii="宋体" w:hAnsi="宋体" w:cs="宋体"/>
                <w:color w:val="auto"/>
                <w:kern w:val="0"/>
                <w:sz w:val="22"/>
                <w:szCs w:val="22"/>
              </w:rPr>
              <w:t>216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3</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英语</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216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color w:val="auto"/>
              </w:rPr>
            </w:pPr>
            <w:r>
              <w:rPr>
                <w:rFonts w:hint="eastAsia" w:ascii="宋体" w:hAnsi="宋体" w:cs="宋体"/>
                <w:color w:val="auto"/>
                <w:kern w:val="0"/>
                <w:sz w:val="22"/>
                <w:szCs w:val="22"/>
              </w:rPr>
              <w:t>216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公共基础课</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4</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中国特色社会主义</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5</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心理健康与职业生涯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6</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哲学与人生</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7</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职业道德与法治</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8</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信息技术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9</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体育与健康</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180</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180</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10</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音乐欣赏</w:t>
            </w:r>
          </w:p>
          <w:p>
            <w:pPr>
              <w:widowControl/>
              <w:jc w:val="center"/>
              <w:rPr>
                <w:rFonts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eastAsia="zh-CN"/>
              </w:rPr>
              <w:t>校园礼仪</w:t>
            </w:r>
            <w:r>
              <w:rPr>
                <w:rFonts w:hint="eastAsia" w:ascii="宋体" w:hAnsi="宋体" w:cs="宋体"/>
                <w:color w:val="auto"/>
                <w:kern w:val="0"/>
                <w:sz w:val="22"/>
                <w:szCs w:val="22"/>
              </w:rPr>
              <w:t>）</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2"/>
                <w:szCs w:val="22"/>
              </w:rPr>
              <w:t>36</w:t>
            </w:r>
            <w:r>
              <w:rPr>
                <w:rFonts w:hint="eastAsia" w:ascii="宋体" w:hAnsi="宋体" w:cs="宋体"/>
                <w:color w:val="auto"/>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11</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美术欣赏（书法）</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12</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劳动教育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13</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历史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36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14</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就业指导</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15</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职业能力</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16</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特色德育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90</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90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p>
        </w:tc>
        <w:tc>
          <w:tcPr>
            <w:tcW w:w="86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 xml:space="preserve"> </w:t>
            </w:r>
            <w:r>
              <w:rPr>
                <w:rFonts w:hint="eastAsia" w:ascii="宋体" w:hAnsi="宋体" w:cs="宋体"/>
                <w:color w:val="auto"/>
                <w:kern w:val="0"/>
                <w:sz w:val="22"/>
                <w:szCs w:val="22"/>
              </w:rPr>
              <w:t>1</w:t>
            </w:r>
            <w:r>
              <w:rPr>
                <w:rFonts w:ascii="宋体" w:hAnsi="宋体" w:cs="宋体"/>
                <w:color w:val="auto"/>
                <w:kern w:val="0"/>
                <w:sz w:val="22"/>
                <w:szCs w:val="22"/>
              </w:rPr>
              <w:t>7</w:t>
            </w:r>
          </w:p>
        </w:tc>
        <w:tc>
          <w:tcPr>
            <w:tcW w:w="2304"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军事训练</w:t>
            </w: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p>
        </w:tc>
        <w:tc>
          <w:tcPr>
            <w:tcW w:w="928"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r>
              <w:rPr>
                <w:rFonts w:ascii="宋体" w:hAnsi="宋体" w:cs="宋体"/>
                <w:color w:val="auto"/>
                <w:kern w:val="0"/>
                <w:sz w:val="22"/>
                <w:szCs w:val="22"/>
              </w:rPr>
              <w:t>6</w:t>
            </w:r>
          </w:p>
        </w:tc>
        <w:tc>
          <w:tcPr>
            <w:tcW w:w="80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r>
              <w:rPr>
                <w:rFonts w:ascii="宋体" w:hAnsi="宋体" w:cs="宋体"/>
                <w:color w:val="auto"/>
                <w:kern w:val="0"/>
                <w:sz w:val="22"/>
                <w:szCs w:val="22"/>
              </w:rPr>
              <w:t>2</w:t>
            </w:r>
          </w:p>
        </w:tc>
        <w:tc>
          <w:tcPr>
            <w:tcW w:w="844"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r>
              <w:rPr>
                <w:rFonts w:ascii="宋体" w:hAnsi="宋体" w:cs="宋体"/>
                <w:color w:val="auto"/>
                <w:kern w:val="0"/>
                <w:sz w:val="22"/>
                <w:szCs w:val="22"/>
              </w:rPr>
              <w:t>4</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公共基础课小结</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16</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16</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20</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w:t>
            </w:r>
            <w:r>
              <w:rPr>
                <w:rFonts w:ascii="宋体" w:hAnsi="宋体" w:cs="宋体"/>
                <w:color w:val="auto"/>
                <w:kern w:val="0"/>
                <w:sz w:val="22"/>
                <w:szCs w:val="22"/>
              </w:rPr>
              <w:t>68</w:t>
            </w:r>
          </w:p>
        </w:tc>
        <w:tc>
          <w:tcPr>
            <w:tcW w:w="802"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r>
              <w:rPr>
                <w:rFonts w:ascii="宋体" w:hAnsi="宋体" w:cs="宋体"/>
                <w:color w:val="auto"/>
                <w:kern w:val="0"/>
                <w:sz w:val="22"/>
                <w:szCs w:val="22"/>
              </w:rPr>
              <w:t>100</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r>
              <w:rPr>
                <w:rFonts w:ascii="宋体" w:hAnsi="宋体" w:cs="宋体"/>
                <w:color w:val="auto"/>
                <w:kern w:val="0"/>
                <w:sz w:val="22"/>
                <w:szCs w:val="22"/>
              </w:rPr>
              <w:t>58</w:t>
            </w: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right w:val="single" w:color="auto" w:sz="4" w:space="0"/>
            </w:tcBorders>
            <w:shd w:val="clear" w:color="auto" w:fill="auto"/>
            <w:textDirection w:val="tbRlV"/>
            <w:vAlign w:val="center"/>
          </w:tcPr>
          <w:p>
            <w:pPr>
              <w:jc w:val="center"/>
              <w:rPr>
                <w:rFonts w:ascii="宋体" w:hAnsi="宋体" w:cs="宋体"/>
                <w:color w:val="auto"/>
                <w:kern w:val="0"/>
                <w:sz w:val="22"/>
                <w:szCs w:val="22"/>
              </w:rPr>
            </w:pPr>
            <w:r>
              <w:rPr>
                <w:rFonts w:hint="eastAsia" w:ascii="宋体" w:hAnsi="宋体" w:cs="宋体"/>
                <w:color w:val="auto"/>
                <w:kern w:val="0"/>
                <w:sz w:val="22"/>
                <w:szCs w:val="22"/>
              </w:rPr>
              <w:t>专业课</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药用基础</w:t>
            </w:r>
            <w:r>
              <w:rPr>
                <w:rFonts w:hint="eastAsia" w:ascii="宋体" w:hAnsi="宋体" w:cs="宋体"/>
                <w:color w:val="auto"/>
                <w:kern w:val="0"/>
                <w:sz w:val="22"/>
                <w:szCs w:val="22"/>
              </w:rPr>
              <w:t>化学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72</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4"/>
                <w:lang w:val="en-US" w:eastAsia="zh-CN"/>
              </w:rPr>
            </w:pPr>
            <w:r>
              <w:rPr>
                <w:rFonts w:hint="eastAsia" w:ascii="宋体" w:hAnsi="宋体" w:cs="宋体"/>
                <w:color w:val="auto"/>
                <w:kern w:val="0"/>
                <w:sz w:val="22"/>
                <w:szCs w:val="22"/>
                <w:lang w:val="en-US" w:eastAsia="zh-CN"/>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化工单元操作</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72</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eastAsia="zh-CN"/>
              </w:rPr>
              <w:t>生物</w:t>
            </w:r>
            <w:r>
              <w:rPr>
                <w:rFonts w:hint="eastAsia" w:ascii="宋体" w:hAnsi="宋体" w:cs="宋体"/>
                <w:color w:val="auto"/>
                <w:kern w:val="0"/>
                <w:sz w:val="22"/>
                <w:szCs w:val="22"/>
              </w:rPr>
              <w:t>化学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　</w:t>
            </w:r>
            <w:r>
              <w:rPr>
                <w:rFonts w:hint="eastAsia" w:ascii="宋体" w:hAnsi="宋体" w:cs="宋体"/>
                <w:color w:val="auto"/>
                <w:kern w:val="0"/>
                <w:sz w:val="22"/>
                <w:szCs w:val="22"/>
                <w:lang w:val="en-US" w:eastAsia="zh-CN"/>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微生物基础</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rPr>
              <w:t>　</w:t>
            </w:r>
            <w:r>
              <w:rPr>
                <w:rFonts w:hint="eastAsia" w:ascii="宋体" w:hAnsi="宋体" w:cs="宋体"/>
                <w:color w:val="auto"/>
                <w:kern w:val="0"/>
                <w:sz w:val="22"/>
                <w:szCs w:val="22"/>
                <w:lang w:val="en-US" w:eastAsia="zh-CN"/>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药理学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rPr>
              <w:t>　</w:t>
            </w:r>
            <w:r>
              <w:rPr>
                <w:rFonts w:hint="eastAsia" w:ascii="宋体" w:hAnsi="宋体" w:cs="宋体"/>
                <w:color w:val="auto"/>
                <w:kern w:val="0"/>
                <w:sz w:val="22"/>
                <w:szCs w:val="22"/>
                <w:lang w:val="en-US" w:eastAsia="zh-CN"/>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eastAsia="zh-CN"/>
              </w:rPr>
              <w:t>生物</w:t>
            </w:r>
            <w:r>
              <w:rPr>
                <w:rFonts w:hint="eastAsia" w:ascii="宋体" w:hAnsi="宋体" w:cs="宋体"/>
                <w:color w:val="auto"/>
                <w:kern w:val="0"/>
                <w:sz w:val="22"/>
                <w:szCs w:val="22"/>
              </w:rPr>
              <w:t>药物</w:t>
            </w:r>
            <w:r>
              <w:rPr>
                <w:rFonts w:hint="eastAsia" w:ascii="宋体" w:hAnsi="宋体" w:cs="宋体"/>
                <w:color w:val="auto"/>
                <w:kern w:val="0"/>
                <w:sz w:val="22"/>
                <w:szCs w:val="22"/>
                <w:lang w:eastAsia="zh-CN"/>
              </w:rPr>
              <w:t>分析与</w:t>
            </w:r>
            <w:r>
              <w:rPr>
                <w:rFonts w:hint="eastAsia" w:ascii="宋体" w:hAnsi="宋体" w:cs="宋体"/>
                <w:color w:val="auto"/>
                <w:kern w:val="0"/>
                <w:sz w:val="22"/>
                <w:szCs w:val="22"/>
              </w:rPr>
              <w:t>检测</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rPr>
              <w:t>　</w:t>
            </w:r>
            <w:r>
              <w:rPr>
                <w:rFonts w:hint="eastAsia" w:ascii="宋体" w:hAnsi="宋体" w:cs="宋体"/>
                <w:color w:val="auto"/>
                <w:kern w:val="0"/>
                <w:sz w:val="22"/>
                <w:szCs w:val="22"/>
                <w:lang w:val="en-US" w:eastAsia="zh-CN"/>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kern w:val="0"/>
                <w:sz w:val="22"/>
                <w:szCs w:val="22"/>
              </w:rPr>
            </w:pPr>
            <w:bookmarkStart w:id="3" w:name="_GoBack" w:colFirst="1" w:colLast="11"/>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highlight w:val="none"/>
                <w:lang w:eastAsia="zh-CN"/>
              </w:rPr>
            </w:pPr>
            <w:r>
              <w:rPr>
                <w:rFonts w:hint="eastAsia"/>
                <w:color w:val="auto"/>
                <w:highlight w:val="none"/>
                <w:lang w:eastAsia="zh-CN"/>
              </w:rPr>
              <w:t>生物</w:t>
            </w:r>
            <w:r>
              <w:rPr>
                <w:rFonts w:hint="eastAsia"/>
                <w:color w:val="auto"/>
                <w:highlight w:val="none"/>
              </w:rPr>
              <w:t>药</w:t>
            </w:r>
            <w:r>
              <w:rPr>
                <w:rFonts w:hint="eastAsia"/>
                <w:color w:val="auto"/>
                <w:highlight w:val="none"/>
                <w:lang w:eastAsia="zh-CN"/>
              </w:rPr>
              <w:t>物制</w:t>
            </w:r>
            <w:r>
              <w:rPr>
                <w:rFonts w:hint="eastAsia"/>
                <w:color w:val="auto"/>
                <w:highlight w:val="none"/>
              </w:rPr>
              <w:t>剂</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72</w:t>
            </w:r>
            <w:r>
              <w:rPr>
                <w:rFonts w:hint="eastAsia" w:ascii="宋体" w:hAnsi="宋体" w:cs="宋体"/>
                <w:color w:val="auto"/>
                <w:kern w:val="0"/>
                <w:sz w:val="22"/>
                <w:szCs w:val="22"/>
                <w:highlight w:val="none"/>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textDirection w:val="tbRlV"/>
            <w:vAlign w:val="center"/>
          </w:tcPr>
          <w:p>
            <w:pPr>
              <w:widowControl/>
              <w:jc w:val="center"/>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制药设备安装与调试</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bidi="ar-SA"/>
              </w:rPr>
            </w:pPr>
            <w:r>
              <w:rPr>
                <w:rFonts w:hint="eastAsia" w:ascii="宋体" w:hAnsi="宋体" w:cs="宋体"/>
                <w:color w:val="auto"/>
                <w:kern w:val="0"/>
                <w:sz w:val="22"/>
                <w:szCs w:val="22"/>
                <w:highlight w:val="none"/>
              </w:rPr>
              <w:t>　</w:t>
            </w:r>
            <w:r>
              <w:rPr>
                <w:rFonts w:hint="eastAsia" w:ascii="宋体" w:hAnsi="宋体" w:cs="宋体"/>
                <w:color w:val="auto"/>
                <w:kern w:val="0"/>
                <w:sz w:val="22"/>
                <w:szCs w:val="22"/>
                <w:highlight w:val="none"/>
                <w:lang w:val="en-US" w:eastAsia="zh-CN"/>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生物</w:t>
            </w:r>
            <w:r>
              <w:rPr>
                <w:rFonts w:hint="eastAsia" w:ascii="宋体" w:hAnsi="宋体" w:cs="宋体"/>
                <w:color w:val="auto"/>
                <w:kern w:val="0"/>
                <w:sz w:val="22"/>
                <w:szCs w:val="22"/>
                <w:highlight w:val="none"/>
              </w:rPr>
              <w:t>制药工艺</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bidi="ar-SA"/>
              </w:rPr>
            </w:pPr>
            <w:r>
              <w:rPr>
                <w:rFonts w:hint="eastAsia" w:ascii="宋体" w:hAnsi="宋体" w:cs="宋体"/>
                <w:color w:val="auto"/>
                <w:kern w:val="0"/>
                <w:sz w:val="22"/>
                <w:szCs w:val="22"/>
                <w:highlight w:val="none"/>
              </w:rPr>
              <w:t>　</w:t>
            </w:r>
            <w:r>
              <w:rPr>
                <w:rFonts w:hint="eastAsia" w:ascii="宋体" w:hAnsi="宋体" w:cs="宋体"/>
                <w:color w:val="auto"/>
                <w:kern w:val="0"/>
                <w:sz w:val="22"/>
                <w:szCs w:val="22"/>
                <w:highlight w:val="none"/>
                <w:lang w:val="en-US" w:eastAsia="zh-CN"/>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highlight w:val="none"/>
                <w:lang w:eastAsia="zh-CN"/>
              </w:rPr>
            </w:pPr>
            <w:r>
              <w:rPr>
                <w:rFonts w:hint="eastAsia" w:ascii="宋体" w:hAnsi="宋体" w:cs="宋体"/>
                <w:color w:val="auto"/>
                <w:kern w:val="0"/>
                <w:sz w:val="22"/>
                <w:szCs w:val="22"/>
                <w:highlight w:val="none"/>
              </w:rPr>
              <w:t>药事管理</w:t>
            </w:r>
            <w:r>
              <w:rPr>
                <w:rFonts w:hint="eastAsia" w:ascii="宋体" w:hAnsi="宋体" w:cs="宋体"/>
                <w:color w:val="auto"/>
                <w:kern w:val="0"/>
                <w:sz w:val="22"/>
                <w:szCs w:val="22"/>
                <w:highlight w:val="none"/>
                <w:lang w:eastAsia="zh-CN"/>
              </w:rPr>
              <w:t>与法规</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highlight w:val="none"/>
                <w:lang w:eastAsia="zh-CN"/>
              </w:rPr>
            </w:pPr>
            <w:r>
              <w:rPr>
                <w:rFonts w:hint="eastAsia" w:ascii="宋体" w:hAnsi="宋体" w:cs="宋体"/>
                <w:color w:val="auto"/>
                <w:kern w:val="0"/>
                <w:sz w:val="22"/>
                <w:szCs w:val="22"/>
                <w:highlight w:val="none"/>
                <w:lang w:val="en-US" w:eastAsia="zh-CN"/>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0</w:t>
            </w:r>
            <w:r>
              <w:rPr>
                <w:rFonts w:hint="eastAsia" w:ascii="宋体" w:hAnsi="宋体" w:cs="宋体"/>
                <w:color w:val="auto"/>
                <w:kern w:val="0"/>
                <w:sz w:val="22"/>
                <w:szCs w:val="22"/>
                <w:highlight w:val="none"/>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color w:val="auto"/>
                <w:highlight w:val="none"/>
                <w:lang w:val="en-US" w:eastAsia="zh-CN"/>
              </w:rPr>
            </w:pPr>
            <w:r>
              <w:rPr>
                <w:rFonts w:hint="eastAsia" w:ascii="宋体" w:hAnsi="宋体" w:cs="宋体"/>
                <w:color w:val="auto"/>
                <w:kern w:val="0"/>
                <w:sz w:val="22"/>
                <w:szCs w:val="22"/>
                <w:highlight w:val="none"/>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highlight w:val="none"/>
                <w:lang w:eastAsia="zh-CN"/>
              </w:rPr>
            </w:pPr>
            <w:r>
              <w:rPr>
                <w:rFonts w:hint="eastAsia" w:ascii="宋体" w:hAnsi="宋体" w:cs="宋体"/>
                <w:color w:val="auto"/>
                <w:kern w:val="0"/>
                <w:sz w:val="22"/>
                <w:szCs w:val="22"/>
                <w:highlight w:val="none"/>
                <w:lang w:eastAsia="zh-CN"/>
              </w:rPr>
              <w:t>生物发酵技术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bidi="ar-SA"/>
              </w:rPr>
            </w:pPr>
            <w:r>
              <w:rPr>
                <w:rFonts w:hint="eastAsia" w:ascii="宋体" w:hAnsi="宋体" w:cs="宋体"/>
                <w:color w:val="auto"/>
                <w:kern w:val="0"/>
                <w:sz w:val="22"/>
                <w:szCs w:val="22"/>
                <w:highlight w:val="none"/>
              </w:rPr>
              <w:t>　</w:t>
            </w:r>
            <w:r>
              <w:rPr>
                <w:rFonts w:hint="eastAsia" w:ascii="宋体" w:hAnsi="宋体" w:cs="宋体"/>
                <w:color w:val="auto"/>
                <w:kern w:val="0"/>
                <w:sz w:val="22"/>
                <w:szCs w:val="22"/>
                <w:highlight w:val="none"/>
                <w:lang w:val="en-US" w:eastAsia="zh-CN"/>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制药企业安全生产与健康防护</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18</w:t>
            </w:r>
            <w:r>
              <w:rPr>
                <w:rFonts w:hint="eastAsia" w:ascii="宋体" w:hAnsi="宋体" w:cs="宋体"/>
                <w:color w:val="auto"/>
                <w:kern w:val="0"/>
                <w:sz w:val="22"/>
                <w:szCs w:val="22"/>
                <w:highlight w:val="none"/>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color w:val="auto"/>
                <w:highlight w:val="none"/>
                <w:lang w:val="en-US" w:eastAsia="zh-CN"/>
              </w:rPr>
            </w:pPr>
            <w:r>
              <w:rPr>
                <w:rFonts w:hint="eastAsia" w:ascii="宋体" w:hAnsi="宋体" w:cs="宋体"/>
                <w:color w:val="auto"/>
                <w:kern w:val="0"/>
                <w:sz w:val="22"/>
                <w:szCs w:val="22"/>
                <w:highlight w:val="none"/>
                <w:lang w:val="en-US" w:eastAsia="zh-CN"/>
              </w:rPr>
              <w:t>18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职业沟通</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0</w:t>
            </w:r>
            <w:r>
              <w:rPr>
                <w:rFonts w:hint="eastAsia" w:ascii="宋体" w:hAnsi="宋体" w:cs="宋体"/>
                <w:color w:val="auto"/>
                <w:kern w:val="0"/>
                <w:sz w:val="22"/>
                <w:szCs w:val="22"/>
                <w:highlight w:val="none"/>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color w:val="auto"/>
                <w:highlight w:val="none"/>
                <w:lang w:val="en-US" w:eastAsia="zh-CN"/>
              </w:rPr>
            </w:pPr>
            <w:r>
              <w:rPr>
                <w:rFonts w:hint="eastAsia" w:ascii="宋体" w:hAnsi="宋体" w:cs="宋体"/>
                <w:color w:val="auto"/>
                <w:kern w:val="0"/>
                <w:sz w:val="22"/>
                <w:szCs w:val="22"/>
                <w:highlight w:val="none"/>
                <w:lang w:val="en-US" w:eastAsia="zh-CN"/>
              </w:rPr>
              <w:t>36</w:t>
            </w:r>
          </w:p>
        </w:tc>
      </w:tr>
      <w:tr>
        <w:tblPrEx>
          <w:tblCellMar>
            <w:top w:w="0" w:type="dxa"/>
            <w:left w:w="108" w:type="dxa"/>
            <w:bottom w:w="0" w:type="dxa"/>
            <w:right w:w="108" w:type="dxa"/>
          </w:tblCellMar>
        </w:tblPrEx>
        <w:trPr>
          <w:trHeight w:val="454" w:hRule="atLeast"/>
        </w:trPr>
        <w:tc>
          <w:tcPr>
            <w:tcW w:w="818" w:type="dxa"/>
            <w:tcBorders>
              <w:left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highlight w:val="none"/>
                <w:lang w:eastAsia="zh-CN"/>
              </w:rPr>
            </w:pPr>
            <w:r>
              <w:rPr>
                <w:rFonts w:hint="eastAsia" w:ascii="宋体" w:hAnsi="宋体" w:cs="宋体"/>
                <w:color w:val="auto"/>
                <w:kern w:val="0"/>
                <w:sz w:val="22"/>
                <w:szCs w:val="22"/>
                <w:highlight w:val="none"/>
              </w:rPr>
              <w:t>1</w:t>
            </w:r>
            <w:r>
              <w:rPr>
                <w:rFonts w:hint="eastAsia" w:ascii="宋体" w:hAnsi="宋体" w:cs="宋体"/>
                <w:color w:val="auto"/>
                <w:kern w:val="0"/>
                <w:sz w:val="22"/>
                <w:szCs w:val="22"/>
                <w:highlight w:val="none"/>
                <w:lang w:val="en-US" w:eastAsia="zh-CN"/>
              </w:rPr>
              <w:t>4</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岗位</w:t>
            </w:r>
            <w:r>
              <w:rPr>
                <w:rFonts w:hint="eastAsia" w:ascii="宋体" w:hAnsi="宋体" w:cs="宋体"/>
                <w:color w:val="auto"/>
                <w:kern w:val="0"/>
                <w:sz w:val="22"/>
                <w:szCs w:val="22"/>
                <w:highlight w:val="none"/>
              </w:rPr>
              <w:t>实习</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szCs w:val="22"/>
                <w:highlight w:val="none"/>
                <w:lang w:val="en-US" w:eastAsia="zh-CN"/>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540</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0</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540</w:t>
            </w:r>
          </w:p>
        </w:tc>
      </w:tr>
      <w:bookmarkEnd w:id="3"/>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专业课小结</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lang w:val="en-US" w:eastAsia="zh-CN"/>
              </w:rPr>
              <w:t>8</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30</w:t>
            </w:r>
          </w:p>
        </w:tc>
        <w:tc>
          <w:tcPr>
            <w:tcW w:w="928"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1584</w:t>
            </w:r>
          </w:p>
        </w:tc>
        <w:tc>
          <w:tcPr>
            <w:tcW w:w="802"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486</w:t>
            </w:r>
            <w:r>
              <w:rPr>
                <w:rFonts w:hint="eastAsia" w:ascii="宋体" w:hAnsi="宋体" w:cs="宋体"/>
                <w:color w:val="auto"/>
                <w:kern w:val="0"/>
                <w:sz w:val="22"/>
                <w:szCs w:val="22"/>
              </w:rPr>
              <w:t>　</w:t>
            </w:r>
          </w:p>
        </w:tc>
        <w:tc>
          <w:tcPr>
            <w:tcW w:w="844"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1098</w:t>
            </w: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合计</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2</w:t>
            </w:r>
            <w:r>
              <w:rPr>
                <w:rFonts w:hint="eastAsia" w:ascii="宋体" w:hAnsi="宋体" w:cs="宋体"/>
                <w:color w:val="auto"/>
                <w:kern w:val="0"/>
                <w:sz w:val="22"/>
                <w:szCs w:val="22"/>
                <w:lang w:val="en-US" w:eastAsia="zh-CN"/>
              </w:rPr>
              <w:t>4</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28</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30</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28</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28</w:t>
            </w:r>
            <w:r>
              <w:rPr>
                <w:rFonts w:hint="eastAsia" w:ascii="宋体" w:hAnsi="宋体" w:cs="宋体"/>
                <w:color w:val="auto"/>
                <w:kern w:val="0"/>
                <w:sz w:val="22"/>
                <w:szCs w:val="22"/>
              </w:rPr>
              <w:t>　</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30</w:t>
            </w:r>
          </w:p>
        </w:tc>
        <w:tc>
          <w:tcPr>
            <w:tcW w:w="928"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3</w:t>
            </w:r>
            <w:r>
              <w:rPr>
                <w:rFonts w:hint="eastAsia" w:ascii="宋体" w:hAnsi="宋体" w:cs="宋体"/>
                <w:color w:val="auto"/>
                <w:kern w:val="0"/>
                <w:sz w:val="22"/>
                <w:szCs w:val="22"/>
                <w:lang w:val="en-US" w:eastAsia="zh-CN"/>
              </w:rPr>
              <w:t>152</w:t>
            </w:r>
          </w:p>
        </w:tc>
        <w:tc>
          <w:tcPr>
            <w:tcW w:w="802"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586</w:t>
            </w:r>
          </w:p>
        </w:tc>
        <w:tc>
          <w:tcPr>
            <w:tcW w:w="844"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1556</w:t>
            </w:r>
            <w:r>
              <w:rPr>
                <w:rFonts w:hint="eastAsia" w:ascii="宋体" w:hAnsi="宋体" w:cs="宋体"/>
                <w:color w:val="auto"/>
                <w:kern w:val="0"/>
                <w:sz w:val="22"/>
                <w:szCs w:val="22"/>
              </w:rPr>
              <w:t>　</w:t>
            </w:r>
          </w:p>
        </w:tc>
      </w:tr>
    </w:tbl>
    <w:p>
      <w:pPr>
        <w:overflowPunct w:val="0"/>
        <w:adjustRightInd w:val="0"/>
        <w:spacing w:line="560" w:lineRule="exact"/>
        <w:ind w:firstLine="480" w:firstLineChars="200"/>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注：</w:t>
      </w:r>
      <w:r>
        <w:rPr>
          <w:rFonts w:hint="eastAsia" w:ascii="仿宋" w:hAnsi="仿宋" w:eastAsia="仿宋" w:cs="仿宋"/>
          <w:color w:val="auto"/>
          <w:sz w:val="24"/>
          <w:szCs w:val="24"/>
          <w:lang w:val="en-US" w:eastAsia="zh-CN"/>
        </w:rPr>
        <w:t>第四、五学期学生进行岗位实习。</w:t>
      </w:r>
    </w:p>
    <w:p>
      <w:pPr>
        <w:overflowPunct w:val="0"/>
        <w:adjustRightInd w:val="0"/>
        <w:spacing w:line="560" w:lineRule="exact"/>
        <w:ind w:firstLine="640" w:firstLineChars="200"/>
        <w:outlineLvl w:val="0"/>
        <w:rPr>
          <w:rFonts w:ascii="黑体" w:hAnsi="黑体" w:eastAsia="黑体"/>
          <w:color w:val="auto"/>
          <w:sz w:val="32"/>
          <w:szCs w:val="32"/>
        </w:rPr>
      </w:pPr>
      <w:r>
        <w:rPr>
          <w:rFonts w:hint="eastAsia" w:ascii="黑体" w:hAnsi="黑体" w:eastAsia="黑体"/>
          <w:color w:val="auto"/>
          <w:sz w:val="32"/>
          <w:szCs w:val="32"/>
        </w:rPr>
        <w:t>九、</w:t>
      </w:r>
      <w:r>
        <w:rPr>
          <w:rFonts w:ascii="黑体" w:hAnsi="黑体" w:eastAsia="黑体"/>
          <w:color w:val="auto"/>
          <w:sz w:val="32"/>
          <w:szCs w:val="32"/>
        </w:rPr>
        <w:t>师资队伍</w:t>
      </w:r>
    </w:p>
    <w:p>
      <w:pPr>
        <w:widowControl/>
        <w:shd w:val="clear" w:color="auto" w:fill="FFFFFF"/>
        <w:spacing w:line="560" w:lineRule="exact"/>
        <w:ind w:firstLine="645"/>
        <w:jc w:val="left"/>
        <w:rPr>
          <w:rFonts w:ascii="仿宋" w:hAnsi="仿宋" w:eastAsia="仿宋" w:cs="仿宋"/>
          <w:color w:val="auto"/>
          <w:sz w:val="32"/>
          <w:szCs w:val="32"/>
        </w:rPr>
      </w:pPr>
      <w:r>
        <w:rPr>
          <w:rFonts w:hint="eastAsia" w:ascii="仿宋" w:hAnsi="仿宋" w:eastAsia="仿宋" w:cs="仿宋"/>
          <w:color w:val="auto"/>
          <w:sz w:val="32"/>
          <w:szCs w:val="32"/>
          <w:lang w:eastAsia="zh-CN"/>
        </w:rPr>
        <w:t>制药</w:t>
      </w:r>
      <w:r>
        <w:rPr>
          <w:rFonts w:hint="eastAsia" w:ascii="仿宋" w:hAnsi="仿宋" w:eastAsia="仿宋" w:cs="仿宋"/>
          <w:color w:val="auto"/>
          <w:sz w:val="32"/>
          <w:szCs w:val="32"/>
        </w:rPr>
        <w:t>专业部现有专任教师4</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名，其中河北省骨干教师1人、石家庄市学科名师</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人、石家庄市骨干教师7人、石家庄市优秀教师</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人。教师全部为本科以上学历，其中硕士占比</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%，专业课教师拥有</w:t>
      </w:r>
      <w:r>
        <w:rPr>
          <w:rFonts w:hint="eastAsia" w:ascii="仿宋" w:hAnsi="仿宋" w:eastAsia="仿宋" w:cs="仿宋"/>
          <w:color w:val="auto"/>
          <w:sz w:val="32"/>
          <w:szCs w:val="32"/>
          <w:lang w:eastAsia="zh-CN"/>
        </w:rPr>
        <w:t>执业药师</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药物检验工（高级）</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分析检验工（高级）</w:t>
      </w:r>
      <w:r>
        <w:rPr>
          <w:rFonts w:hint="eastAsia" w:ascii="仿宋" w:hAnsi="仿宋" w:eastAsia="仿宋" w:cs="仿宋"/>
          <w:color w:val="auto"/>
          <w:sz w:val="32"/>
          <w:szCs w:val="32"/>
        </w:rPr>
        <w:t>等职业资格证书及</w:t>
      </w:r>
      <w:r>
        <w:rPr>
          <w:rFonts w:hint="eastAsia" w:ascii="仿宋" w:hAnsi="仿宋" w:eastAsia="仿宋" w:cs="仿宋"/>
          <w:color w:val="auto"/>
          <w:sz w:val="32"/>
          <w:szCs w:val="32"/>
          <w:lang w:eastAsia="zh-CN"/>
        </w:rPr>
        <w:t>药物制剂生产</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药品购销</w:t>
      </w:r>
      <w:r>
        <w:rPr>
          <w:rFonts w:hint="eastAsia" w:ascii="仿宋" w:hAnsi="仿宋" w:eastAsia="仿宋" w:cs="仿宋"/>
          <w:color w:val="auto"/>
          <w:sz w:val="32"/>
          <w:szCs w:val="32"/>
        </w:rPr>
        <w:t>等“1+X”职业技能等级培训教师证书。</w:t>
      </w:r>
    </w:p>
    <w:p>
      <w:pPr>
        <w:widowControl/>
        <w:shd w:val="clear" w:color="auto" w:fill="FFFFFF"/>
        <w:spacing w:line="560" w:lineRule="exact"/>
        <w:ind w:firstLine="645"/>
        <w:jc w:val="left"/>
        <w:rPr>
          <w:rFonts w:ascii="仿宋" w:hAnsi="仿宋" w:eastAsia="仿宋" w:cs="仿宋"/>
          <w:color w:val="auto"/>
          <w:sz w:val="32"/>
          <w:szCs w:val="32"/>
        </w:rPr>
      </w:pPr>
      <w:r>
        <w:rPr>
          <w:rFonts w:hint="eastAsia" w:ascii="仿宋" w:hAnsi="仿宋" w:eastAsia="仿宋" w:cs="仿宋"/>
          <w:color w:val="auto"/>
          <w:sz w:val="32"/>
          <w:szCs w:val="32"/>
        </w:rPr>
        <w:t>该专业教师曾在全国中职学校信息化教学大赛、全国中职学校教师说课比赛、河北省职业院校信息化教学大赛、河北省中职学校教师技能大赛等活动中获奖，近三年指导学生参加多项全国、省市技能大赛，</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0余人次荣获技能大赛优秀辅导教师。</w:t>
      </w:r>
    </w:p>
    <w:p>
      <w:pPr>
        <w:overflowPunct w:val="0"/>
        <w:adjustRightInd w:val="0"/>
        <w:spacing w:line="560" w:lineRule="exact"/>
        <w:ind w:firstLine="645"/>
        <w:outlineLvl w:val="0"/>
        <w:rPr>
          <w:rFonts w:ascii="黑体" w:hAnsi="黑体" w:eastAsia="黑体"/>
          <w:b/>
          <w:color w:val="auto"/>
          <w:sz w:val="32"/>
          <w:szCs w:val="32"/>
        </w:rPr>
      </w:pPr>
      <w:r>
        <w:rPr>
          <w:rFonts w:hint="eastAsia" w:ascii="黑体" w:hAnsi="黑体" w:eastAsia="黑体"/>
          <w:b/>
          <w:color w:val="auto"/>
          <w:sz w:val="32"/>
          <w:szCs w:val="32"/>
        </w:rPr>
        <w:t>十、教学条件</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一）</w:t>
      </w:r>
      <w:r>
        <w:rPr>
          <w:rFonts w:eastAsia="楷体_GB2312"/>
          <w:b/>
          <w:color w:val="auto"/>
          <w:sz w:val="32"/>
          <w:szCs w:val="32"/>
        </w:rPr>
        <w:t>教学设施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专业建设紧跟</w:t>
      </w:r>
      <w:r>
        <w:rPr>
          <w:rFonts w:hint="eastAsia" w:ascii="仿宋" w:hAnsi="仿宋" w:eastAsia="仿宋" w:cs="仿宋"/>
          <w:color w:val="auto"/>
          <w:sz w:val="32"/>
          <w:szCs w:val="32"/>
          <w:lang w:eastAsia="zh-CN"/>
        </w:rPr>
        <w:t>医药发展趋势</w:t>
      </w:r>
      <w:r>
        <w:rPr>
          <w:rFonts w:hint="eastAsia" w:ascii="仿宋" w:hAnsi="仿宋" w:eastAsia="仿宋" w:cs="仿宋"/>
          <w:color w:val="auto"/>
          <w:sz w:val="32"/>
          <w:szCs w:val="32"/>
        </w:rPr>
        <w:t>，学校是</w:t>
      </w:r>
      <w:r>
        <w:rPr>
          <w:rFonts w:hint="eastAsia" w:ascii="仿宋" w:hAnsi="仿宋" w:eastAsia="仿宋" w:cs="仿宋"/>
          <w:color w:val="auto"/>
          <w:sz w:val="32"/>
          <w:szCs w:val="32"/>
          <w:lang w:eastAsia="zh-CN"/>
        </w:rPr>
        <w:t>石家庄四药有限公司、国药乐仁堂河北药业有限公司</w:t>
      </w:r>
      <w:r>
        <w:rPr>
          <w:rFonts w:hint="eastAsia" w:ascii="仿宋" w:hAnsi="仿宋" w:eastAsia="仿宋" w:cs="仿宋"/>
          <w:color w:val="auto"/>
          <w:sz w:val="32"/>
          <w:szCs w:val="32"/>
        </w:rPr>
        <w:t>合作院校、是石家庄四药有限公司、国药乐仁堂河北药业有限公司产教融合人才培养基地。本专业是教育部“1+X”</w:t>
      </w:r>
      <w:r>
        <w:rPr>
          <w:rFonts w:hint="eastAsia" w:ascii="仿宋" w:hAnsi="仿宋" w:eastAsia="仿宋" w:cs="仿宋"/>
          <w:color w:val="auto"/>
          <w:sz w:val="32"/>
          <w:szCs w:val="32"/>
          <w:lang w:eastAsia="zh-CN"/>
        </w:rPr>
        <w:t>药物制剂生产</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药品购销</w:t>
      </w:r>
      <w:r>
        <w:rPr>
          <w:rFonts w:hint="eastAsia" w:ascii="仿宋" w:hAnsi="仿宋" w:eastAsia="仿宋" w:cs="仿宋"/>
          <w:color w:val="auto"/>
          <w:sz w:val="32"/>
          <w:szCs w:val="32"/>
        </w:rPr>
        <w:t>职业技能等级证书试点专业和考点专业。建有</w:t>
      </w:r>
      <w:r>
        <w:rPr>
          <w:rFonts w:hint="eastAsia" w:ascii="仿宋" w:hAnsi="仿宋" w:eastAsia="仿宋" w:cs="仿宋"/>
          <w:color w:val="auto"/>
          <w:sz w:val="32"/>
          <w:szCs w:val="32"/>
          <w:lang w:eastAsia="zh-CN"/>
        </w:rPr>
        <w:t>制药基础设备</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化学基础、分析实验、生物制药</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药物制剂仿真、制药工艺仿真</w:t>
      </w:r>
      <w:r>
        <w:rPr>
          <w:rFonts w:hint="eastAsia" w:ascii="仿宋" w:hAnsi="仿宋" w:eastAsia="仿宋" w:cs="仿宋"/>
          <w:color w:val="auto"/>
          <w:sz w:val="32"/>
          <w:szCs w:val="32"/>
        </w:rPr>
        <w:t>等实训室，在实训基地、教师企业实践、学生实训实习等方面进行共建共享。</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二</w:t>
      </w:r>
      <w:r>
        <w:rPr>
          <w:rFonts w:eastAsia="楷体_GB2312"/>
          <w:b/>
          <w:color w:val="auto"/>
          <w:sz w:val="32"/>
          <w:szCs w:val="32"/>
        </w:rPr>
        <w:t>）教学资源</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以《</w:t>
      </w:r>
      <w:r>
        <w:rPr>
          <w:rFonts w:hint="eastAsia" w:ascii="仿宋" w:hAnsi="仿宋" w:eastAsia="仿宋" w:cs="仿宋"/>
          <w:color w:val="auto"/>
          <w:sz w:val="32"/>
          <w:szCs w:val="32"/>
          <w:lang w:eastAsia="zh-CN"/>
        </w:rPr>
        <w:t>药用化学</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生物药物制剂技术</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生物制药工艺</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化工单元操作</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生物药物检测技术</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制药设备</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制药企业安全与防护</w:t>
      </w:r>
      <w:r>
        <w:rPr>
          <w:rFonts w:hint="eastAsia" w:ascii="仿宋" w:hAnsi="仿宋" w:eastAsia="仿宋" w:cs="仿宋"/>
          <w:color w:val="auto"/>
          <w:sz w:val="32"/>
          <w:szCs w:val="32"/>
        </w:rPr>
        <w:t>》等课程为核心，建立专业课程教学资源库，其中包含电子教案、电子教材、课件、教学视频、多媒体素材、习题库、试题库、案例库、在线测试等，为实现学生自主学习和相互交流提供优质的共享资源平台。</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三</w:t>
      </w:r>
      <w:r>
        <w:rPr>
          <w:rFonts w:eastAsia="楷体_GB2312"/>
          <w:b/>
          <w:color w:val="auto"/>
          <w:sz w:val="32"/>
          <w:szCs w:val="32"/>
        </w:rPr>
        <w:t>）教学方法</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依据专业培养目标、课程要求、学生能力与教学资源，采取适当的教学方法，已达到预期的教学目标。</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公共基础课可以采取讲授式教学、启发式教学、问题探究式教学等方法。通过集体讲解、师生对话、小组讨论、案例分析等形式，调动学生的学习积极性，为专业课的学习以及再教育奠定基础。</w:t>
      </w:r>
    </w:p>
    <w:p>
      <w:pPr>
        <w:overflowPunct w:val="0"/>
        <w:adjustRightInd w:val="0"/>
        <w:spacing w:line="56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专业课可以采用项目教学、启发式教学、情景模拟教学、案例教学等方法，利用集体讲解、师生对话、案例分析、小组讨论等形式，应用教学软件等数字化教学资源，使学生更好地理解和掌握</w:t>
      </w:r>
      <w:r>
        <w:rPr>
          <w:rFonts w:hint="eastAsia" w:ascii="仿宋" w:hAnsi="仿宋" w:eastAsia="仿宋" w:cs="仿宋"/>
          <w:color w:val="auto"/>
          <w:sz w:val="32"/>
          <w:szCs w:val="32"/>
          <w:lang w:eastAsia="zh-CN"/>
        </w:rPr>
        <w:t>药物生产</w:t>
      </w:r>
      <w:r>
        <w:rPr>
          <w:rFonts w:hint="eastAsia" w:ascii="仿宋" w:hAnsi="仿宋" w:eastAsia="仿宋" w:cs="仿宋"/>
          <w:color w:val="auto"/>
          <w:sz w:val="32"/>
          <w:szCs w:val="32"/>
        </w:rPr>
        <w:t>的各项基本技能，为以后的学习和就业打好基础。</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四</w:t>
      </w:r>
      <w:r>
        <w:rPr>
          <w:rFonts w:eastAsia="楷体_GB2312"/>
          <w:b/>
          <w:color w:val="auto"/>
          <w:sz w:val="32"/>
          <w:szCs w:val="32"/>
        </w:rPr>
        <w:t>）学习评价</w:t>
      </w:r>
    </w:p>
    <w:p>
      <w:pPr>
        <w:overflowPunct w:val="0"/>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本专业采用阶段过程性考核和综合考核相结合的多元化学生学习评价体系，坚持过程性评价与结果性评价相结合、主观评价与客观评价相结合。</w:t>
      </w:r>
    </w:p>
    <w:p>
      <w:pPr>
        <w:overflowPunct w:val="0"/>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理论教学学生学业综合考核评价包括期中成绩、期末成绩和平时成绩三部分，学生总评成绩=期中成绩（20%）+期末成绩（40%）+平时成绩（40%）。平时成绩包括课堂表现、活动参与、作业提交和考勤等多元评价方法。</w:t>
      </w:r>
    </w:p>
    <w:p>
      <w:pPr>
        <w:overflowPunct w:val="0"/>
        <w:adjustRightInd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学生技能考核以具体技能任务阶段报告为主，采用阶段性技能成果展示和综合考核技能成果展示等形式综合评价。</w:t>
      </w:r>
    </w:p>
    <w:p>
      <w:pPr>
        <w:overflowPunct w:val="0"/>
        <w:adjustRightInd w:val="0"/>
        <w:spacing w:line="560" w:lineRule="exact"/>
        <w:ind w:firstLine="643" w:firstLineChars="200"/>
        <w:outlineLvl w:val="0"/>
        <w:rPr>
          <w:rFonts w:eastAsia="楷体_GB2312"/>
          <w:b/>
          <w:color w:val="auto"/>
          <w:sz w:val="32"/>
          <w:szCs w:val="32"/>
        </w:rPr>
      </w:pPr>
      <w:r>
        <w:rPr>
          <w:rFonts w:eastAsia="楷体_GB2312"/>
          <w:b/>
          <w:color w:val="auto"/>
          <w:sz w:val="32"/>
          <w:szCs w:val="32"/>
        </w:rPr>
        <w:t>（</w:t>
      </w:r>
      <w:r>
        <w:rPr>
          <w:rFonts w:hint="eastAsia" w:eastAsia="楷体_GB2312"/>
          <w:b/>
          <w:color w:val="auto"/>
          <w:sz w:val="32"/>
          <w:szCs w:val="32"/>
        </w:rPr>
        <w:t>五</w:t>
      </w:r>
      <w:r>
        <w:rPr>
          <w:rFonts w:eastAsia="楷体_GB2312"/>
          <w:b/>
          <w:color w:val="auto"/>
          <w:sz w:val="32"/>
          <w:szCs w:val="32"/>
        </w:rPr>
        <w:t>）质量管理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与实际紧密联系，动态发展课程内容。及时掌握本地区经济发展及人才需求情况，本着适应与超前的原则，不断优化课程结构。并且要注意打破课程、教材、教学之间的等号，在教学中学校和教师要积极构建课程及内容。</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十一</w:t>
      </w:r>
      <w:r>
        <w:rPr>
          <w:rFonts w:eastAsia="黑体"/>
          <w:color w:val="auto"/>
          <w:sz w:val="32"/>
          <w:szCs w:val="32"/>
        </w:rPr>
        <w:t>、毕业要求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1.在规定的学习时间段内，无留级、留校察看等不良记录，修满人才培养方案规定的学时学分，完成规定的教学活动。</w:t>
      </w:r>
    </w:p>
    <w:p>
      <w:pPr>
        <w:spacing w:line="560" w:lineRule="exact"/>
        <w:ind w:firstLine="645"/>
        <w:rPr>
          <w:rFonts w:ascii="仿宋" w:hAnsi="仿宋" w:eastAsia="仿宋" w:cs="仿宋"/>
          <w:color w:val="auto"/>
          <w:sz w:val="32"/>
          <w:szCs w:val="32"/>
        </w:rPr>
      </w:pPr>
      <w:r>
        <w:rPr>
          <w:rFonts w:hint="eastAsia" w:ascii="仿宋" w:hAnsi="仿宋" w:eastAsia="仿宋" w:cs="仿宋"/>
          <w:color w:val="auto"/>
          <w:sz w:val="32"/>
          <w:szCs w:val="32"/>
        </w:rPr>
        <w:t>2.具有人文社会素养、社会责任感，能够在实践中理解并遵守职业道德和规范，履行责任。</w:t>
      </w:r>
    </w:p>
    <w:p>
      <w:pPr>
        <w:spacing w:line="560" w:lineRule="exact"/>
        <w:ind w:firstLine="645"/>
        <w:rPr>
          <w:color w:val="auto"/>
          <w:sz w:val="32"/>
          <w:szCs w:val="32"/>
        </w:rPr>
      </w:pPr>
      <w:r>
        <w:rPr>
          <w:rFonts w:hint="eastAsia" w:ascii="仿宋" w:hAnsi="仿宋" w:eastAsia="仿宋" w:cs="仿宋"/>
          <w:color w:val="auto"/>
          <w:sz w:val="32"/>
          <w:szCs w:val="32"/>
        </w:rPr>
        <w:t>3.能够在多学科背景下的团队中承担个体、团体成员以及负责人的角色。</w:t>
      </w:r>
    </w:p>
    <w:sectPr>
      <w:footerReference r:id="rId3" w:type="default"/>
      <w:pgSz w:w="11906" w:h="16838"/>
      <w:pgMar w:top="2098" w:right="158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3NzIyZDE4ODYyMGYwMWFjOTc1MTJiZTRhNTg3ZTAifQ=="/>
  </w:docVars>
  <w:rsids>
    <w:rsidRoot w:val="51750383"/>
    <w:rsid w:val="00003A34"/>
    <w:rsid w:val="00011826"/>
    <w:rsid w:val="00026F19"/>
    <w:rsid w:val="00066BB8"/>
    <w:rsid w:val="000742FA"/>
    <w:rsid w:val="000B3924"/>
    <w:rsid w:val="000B4B76"/>
    <w:rsid w:val="000D2B95"/>
    <w:rsid w:val="00104AA0"/>
    <w:rsid w:val="00194B1A"/>
    <w:rsid w:val="001A413D"/>
    <w:rsid w:val="001D696F"/>
    <w:rsid w:val="001F08A7"/>
    <w:rsid w:val="00237976"/>
    <w:rsid w:val="002949F6"/>
    <w:rsid w:val="002F0298"/>
    <w:rsid w:val="003A77EA"/>
    <w:rsid w:val="003B59B8"/>
    <w:rsid w:val="003E64C1"/>
    <w:rsid w:val="00492225"/>
    <w:rsid w:val="00495050"/>
    <w:rsid w:val="00510095"/>
    <w:rsid w:val="0052677C"/>
    <w:rsid w:val="00546070"/>
    <w:rsid w:val="005504B6"/>
    <w:rsid w:val="00552D7B"/>
    <w:rsid w:val="005E322F"/>
    <w:rsid w:val="005F69F6"/>
    <w:rsid w:val="00653356"/>
    <w:rsid w:val="00663D73"/>
    <w:rsid w:val="00677324"/>
    <w:rsid w:val="006B6ED5"/>
    <w:rsid w:val="006D011E"/>
    <w:rsid w:val="007708A3"/>
    <w:rsid w:val="007C0136"/>
    <w:rsid w:val="007D49BC"/>
    <w:rsid w:val="007D4A49"/>
    <w:rsid w:val="007E3E5C"/>
    <w:rsid w:val="0080266F"/>
    <w:rsid w:val="008A7DCE"/>
    <w:rsid w:val="008B7DFF"/>
    <w:rsid w:val="009C3240"/>
    <w:rsid w:val="009C5A44"/>
    <w:rsid w:val="009E4660"/>
    <w:rsid w:val="00A42A92"/>
    <w:rsid w:val="00A9617C"/>
    <w:rsid w:val="00A97EFB"/>
    <w:rsid w:val="00AF16D0"/>
    <w:rsid w:val="00AF78D2"/>
    <w:rsid w:val="00B133C7"/>
    <w:rsid w:val="00B135DB"/>
    <w:rsid w:val="00B24D9C"/>
    <w:rsid w:val="00B34E44"/>
    <w:rsid w:val="00B603EB"/>
    <w:rsid w:val="00BF555D"/>
    <w:rsid w:val="00C25083"/>
    <w:rsid w:val="00D1447D"/>
    <w:rsid w:val="00D3176B"/>
    <w:rsid w:val="00D65C6D"/>
    <w:rsid w:val="00DA3143"/>
    <w:rsid w:val="00DC5F1E"/>
    <w:rsid w:val="00DE1AEE"/>
    <w:rsid w:val="00DE24C0"/>
    <w:rsid w:val="00E013DD"/>
    <w:rsid w:val="00E05B64"/>
    <w:rsid w:val="00E060F0"/>
    <w:rsid w:val="00E07303"/>
    <w:rsid w:val="00E7466B"/>
    <w:rsid w:val="00E85193"/>
    <w:rsid w:val="00E94766"/>
    <w:rsid w:val="00EF292A"/>
    <w:rsid w:val="00F41E07"/>
    <w:rsid w:val="00FA0177"/>
    <w:rsid w:val="00FE47EA"/>
    <w:rsid w:val="010B065A"/>
    <w:rsid w:val="01425674"/>
    <w:rsid w:val="027A1FFF"/>
    <w:rsid w:val="028311D2"/>
    <w:rsid w:val="02AD2E45"/>
    <w:rsid w:val="05F310A8"/>
    <w:rsid w:val="061B33AB"/>
    <w:rsid w:val="079E52B1"/>
    <w:rsid w:val="07A2624F"/>
    <w:rsid w:val="07C83E1B"/>
    <w:rsid w:val="085B1D6F"/>
    <w:rsid w:val="0AC86ED2"/>
    <w:rsid w:val="0ADE6DDF"/>
    <w:rsid w:val="0B81389B"/>
    <w:rsid w:val="0C117A1D"/>
    <w:rsid w:val="0C4834B0"/>
    <w:rsid w:val="0CA91A44"/>
    <w:rsid w:val="0D764D13"/>
    <w:rsid w:val="0F4E13C5"/>
    <w:rsid w:val="1003797D"/>
    <w:rsid w:val="106F72F4"/>
    <w:rsid w:val="12CC5617"/>
    <w:rsid w:val="130608A8"/>
    <w:rsid w:val="130B2F3B"/>
    <w:rsid w:val="135348E6"/>
    <w:rsid w:val="135741CF"/>
    <w:rsid w:val="150A124F"/>
    <w:rsid w:val="15694F24"/>
    <w:rsid w:val="15876BC1"/>
    <w:rsid w:val="158E5969"/>
    <w:rsid w:val="176044BF"/>
    <w:rsid w:val="18FA7505"/>
    <w:rsid w:val="19826FA5"/>
    <w:rsid w:val="1BAB226E"/>
    <w:rsid w:val="1E940449"/>
    <w:rsid w:val="1EAC32F3"/>
    <w:rsid w:val="1F276D8B"/>
    <w:rsid w:val="20E770DE"/>
    <w:rsid w:val="21D54CB5"/>
    <w:rsid w:val="227C7700"/>
    <w:rsid w:val="2280002D"/>
    <w:rsid w:val="23FB206D"/>
    <w:rsid w:val="24A205A0"/>
    <w:rsid w:val="25511CA7"/>
    <w:rsid w:val="28100720"/>
    <w:rsid w:val="28276604"/>
    <w:rsid w:val="2A0C65CE"/>
    <w:rsid w:val="2A3A570F"/>
    <w:rsid w:val="2A4224D3"/>
    <w:rsid w:val="2AED047E"/>
    <w:rsid w:val="2CF43071"/>
    <w:rsid w:val="2D0411AD"/>
    <w:rsid w:val="2FF00BFE"/>
    <w:rsid w:val="2FF12B49"/>
    <w:rsid w:val="303C7ADC"/>
    <w:rsid w:val="30BC7DFE"/>
    <w:rsid w:val="30C22315"/>
    <w:rsid w:val="30D715B9"/>
    <w:rsid w:val="31B94279"/>
    <w:rsid w:val="32475B7C"/>
    <w:rsid w:val="32C57CA9"/>
    <w:rsid w:val="32E50A6F"/>
    <w:rsid w:val="33B064E7"/>
    <w:rsid w:val="33E749DF"/>
    <w:rsid w:val="366854D4"/>
    <w:rsid w:val="36A55DE0"/>
    <w:rsid w:val="373F08BA"/>
    <w:rsid w:val="39237490"/>
    <w:rsid w:val="3B041C33"/>
    <w:rsid w:val="3B096234"/>
    <w:rsid w:val="3B982D49"/>
    <w:rsid w:val="3F6046C3"/>
    <w:rsid w:val="405A694A"/>
    <w:rsid w:val="412474C4"/>
    <w:rsid w:val="433D186A"/>
    <w:rsid w:val="43AC61CD"/>
    <w:rsid w:val="44AF4753"/>
    <w:rsid w:val="44D679E6"/>
    <w:rsid w:val="44F03CA1"/>
    <w:rsid w:val="455A3B0D"/>
    <w:rsid w:val="4666059F"/>
    <w:rsid w:val="470B07EE"/>
    <w:rsid w:val="474A052B"/>
    <w:rsid w:val="48111D26"/>
    <w:rsid w:val="48897310"/>
    <w:rsid w:val="4938307A"/>
    <w:rsid w:val="4AC52226"/>
    <w:rsid w:val="4C5079A7"/>
    <w:rsid w:val="4EB716BA"/>
    <w:rsid w:val="4FDF3672"/>
    <w:rsid w:val="507C775A"/>
    <w:rsid w:val="51403A91"/>
    <w:rsid w:val="51750383"/>
    <w:rsid w:val="51AA35AD"/>
    <w:rsid w:val="538F3485"/>
    <w:rsid w:val="55BC1931"/>
    <w:rsid w:val="56642E02"/>
    <w:rsid w:val="58A77ADB"/>
    <w:rsid w:val="59AD70AF"/>
    <w:rsid w:val="59C172C2"/>
    <w:rsid w:val="5A5F74F0"/>
    <w:rsid w:val="5BC33FA7"/>
    <w:rsid w:val="5CE00143"/>
    <w:rsid w:val="5F5905F2"/>
    <w:rsid w:val="5FD84FC4"/>
    <w:rsid w:val="602D7CBC"/>
    <w:rsid w:val="6280757E"/>
    <w:rsid w:val="62AF0893"/>
    <w:rsid w:val="644301A3"/>
    <w:rsid w:val="64430959"/>
    <w:rsid w:val="65855C7B"/>
    <w:rsid w:val="670E4F40"/>
    <w:rsid w:val="69B45D14"/>
    <w:rsid w:val="6BA25B26"/>
    <w:rsid w:val="6E136DBE"/>
    <w:rsid w:val="6FD213F0"/>
    <w:rsid w:val="70105BD0"/>
    <w:rsid w:val="70357077"/>
    <w:rsid w:val="70EB50D8"/>
    <w:rsid w:val="725D4B26"/>
    <w:rsid w:val="73025D8D"/>
    <w:rsid w:val="74015467"/>
    <w:rsid w:val="7569122D"/>
    <w:rsid w:val="782D4739"/>
    <w:rsid w:val="7C8C2CA7"/>
    <w:rsid w:val="7E2554F5"/>
    <w:rsid w:val="7FD6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autoRedefine/>
    <w:qFormat/>
    <w:uiPriority w:val="0"/>
  </w:style>
  <w:style w:type="character" w:styleId="10">
    <w:name w:val="Emphasis"/>
    <w:basedOn w:val="8"/>
    <w:autoRedefine/>
    <w:qFormat/>
    <w:uiPriority w:val="20"/>
    <w:rPr>
      <w:i/>
      <w:iCs/>
    </w:rPr>
  </w:style>
  <w:style w:type="character" w:styleId="11">
    <w:name w:val="Hyperlink"/>
    <w:basedOn w:val="8"/>
    <w:autoRedefine/>
    <w:qFormat/>
    <w:uiPriority w:val="0"/>
    <w:rPr>
      <w:color w:val="0000FF"/>
      <w:u w:val="single"/>
    </w:rPr>
  </w:style>
  <w:style w:type="paragraph" w:customStyle="1" w:styleId="12">
    <w:name w:val="中等深浅网格 1 - 着色 21"/>
    <w:basedOn w:val="1"/>
    <w:autoRedefine/>
    <w:qFormat/>
    <w:uiPriority w:val="0"/>
    <w:pPr>
      <w:spacing w:line="360" w:lineRule="auto"/>
      <w:ind w:firstLine="420" w:firstLineChars="200"/>
    </w:pPr>
    <w:rPr>
      <w:rFonts w:ascii="Calibri" w:hAnsi="Calibri" w:eastAsia="宋体"/>
    </w:rPr>
  </w:style>
  <w:style w:type="paragraph" w:styleId="13">
    <w:name w:val="List Paragraph"/>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F5F3B-C0B9-4856-910A-947A3A644F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9633</Words>
  <Characters>9913</Characters>
  <Lines>64</Lines>
  <Paragraphs>18</Paragraphs>
  <TotalTime>0</TotalTime>
  <ScaleCrop>false</ScaleCrop>
  <LinksUpToDate>false</LinksUpToDate>
  <CharactersWithSpaces>10170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2022-10-13T07:41:00Z</dcterms:created>
  <dc:creator>Administrator</dc:creator>
  <cp:lastModifiedBy>董董</cp:lastModifiedBy>
  <cp:lastPrinted>2019-07-08T06:10:00Z</cp:lastPrinted>
  <dcterms:modified xsi:type="dcterms:W3CDTF">2024-04-01T02:15:24Z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2846E8B5D75A46D985D9A9DCAA5C7D53</vt:lpwstr>
  </property>
</Properties>
</file>