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72"/>
          <w:szCs w:val="72"/>
        </w:rPr>
      </w:pPr>
      <w:bookmarkStart w:id="0" w:name="_Toc536591124"/>
      <w:bookmarkStart w:id="1" w:name="_Toc536607955"/>
      <w:bookmarkStart w:id="2" w:name="t2"/>
      <w:r>
        <w:rPr>
          <w:rFonts w:hint="eastAsia" w:ascii="方正小标宋简体" w:hAnsi="方正小标宋简体" w:eastAsia="方正小标宋简体"/>
          <w:sz w:val="72"/>
          <w:szCs w:val="72"/>
        </w:rPr>
        <w:t>石家庄财经商贸学校</w:t>
      </w:r>
    </w:p>
    <w:p>
      <w:pPr>
        <w:jc w:val="center"/>
        <w:rPr>
          <w:rFonts w:ascii="方正小标宋简体" w:hAnsi="方正小标宋简体" w:eastAsia="方正小标宋简体"/>
          <w:sz w:val="72"/>
          <w:szCs w:val="72"/>
        </w:rPr>
      </w:pPr>
      <w:r>
        <w:rPr>
          <w:rFonts w:hint="eastAsia" w:ascii="方正小标宋简体" w:hAnsi="方正小标宋简体" w:eastAsia="方正小标宋简体"/>
          <w:sz w:val="72"/>
          <w:szCs w:val="72"/>
        </w:rPr>
        <w:t>专业人才培养方案</w:t>
      </w:r>
    </w:p>
    <w:p>
      <w:pPr>
        <w:rPr>
          <w:rFonts w:ascii="方正小标宋简体" w:hAnsi="方正小标宋简体" w:eastAsia="方正小标宋简体"/>
          <w:sz w:val="72"/>
          <w:szCs w:val="72"/>
        </w:rPr>
      </w:pPr>
    </w:p>
    <w:p>
      <w:pPr>
        <w:rPr>
          <w:rFonts w:ascii="方正小标宋简体" w:hAnsi="方正小标宋简体" w:eastAsia="方正小标宋简体"/>
          <w:sz w:val="72"/>
          <w:szCs w:val="72"/>
        </w:rPr>
      </w:pPr>
    </w:p>
    <w:p>
      <w:pPr>
        <w:spacing w:line="1000" w:lineRule="exact"/>
        <w:ind w:firstLine="1920" w:firstLineChars="600"/>
        <w:rPr>
          <w:rFonts w:ascii="方正仿宋简体" w:hAnsi="方正仿宋简体" w:eastAsia="方正仿宋简体"/>
          <w:sz w:val="32"/>
          <w:szCs w:val="32"/>
          <w:u w:val="single"/>
        </w:rPr>
      </w:pPr>
      <w:r>
        <w:rPr>
          <w:sz w:val="32"/>
        </w:rPr>
        <w:pict>
          <v:line id="_x0000_s1026" o:spid="_x0000_s1026" o:spt="20" style="position:absolute;left:0pt;margin-left:167.95pt;margin-top:48.4pt;height:0pt;width:145.5pt;z-index:251659264;mso-width-relative:page;mso-height-relative:page;" coordsize="21600,21600" o:gfxdata="UEsDBAoAAAAAAIdO4kAAAAAAAAAAAAAAAAAEAAAAZHJzL1BLAwQUAAAACACHTuJAP91latYAAAAJ&#10;AQAADwAAAGRycy9kb3ducmV2LnhtbE2PwU7DMBBE70j8g7VI3KjTVqRtiNMDEgckJCBw4OjG2zgQ&#10;r4PtJuHvWcQBjjs7mnlT7mfXixFD7DwpWC4yEEiNNx21Cl5f7q62IGLSZHTvCRV8YYR9dX5W6sL4&#10;iZ5xrFMrOIRioRXYlIZCythYdDou/IDEv6MPTic+QytN0BOHu16usiyXTnfEDVYPeGux+ahPjlNo&#10;83mc+/D29Phgt/X0jvfjBpW6vFhmNyASzunPDD/4jA4VMx38iUwUvYL1+nrHVgW7nCewIV/lLBx+&#10;BVmV8v+C6htQSwMEFAAAAAgAh07iQPlE+OLwAQAAvQMAAA4AAABkcnMvZTJvRG9jLnhtbK1TS27b&#10;MBDdF+gdCO5rWbHjCILpLGKkm6I10PYANEVJBPgDh7HsS/QCBbprV11239s0OUaHlJqk6SaLakEN&#10;OY9v+B6H68uj0eQgAyhnGS1nc0qkFa5RtmP044frVxUlELltuHZWMnqSQC83L1+sB1/LM9c73chA&#10;kMRCPXhG+xh9XRQgemk4zJyXFpOtC4ZHnIauaAIfkN3o4mw+XxWDC40PTkgAXN2OSToxhucQurZV&#10;Qm6duDHSxpE1SM0jSoJeeaCbfNq2lSK+a1uQkWhGUWnMIxbBeJ/GYrPmdRe475WYjsCfc4QnmgxX&#10;FoveU2155OQmqH+ojBLBgWvjTDhTjEKyI6iinD/x5n3Pvcxa0Grw96bD/6MVbw+7QFTD6JISyw1e&#10;+O3nH78+fb37+QXH2+/fyDKZNHioEXtld2Gagd+FpPjYBpP+qIUcGV2Uy/lFifaeGD0vy1W1mEyW&#10;x0gEAspqeVGdI0AgIueKBxIfIL6WzpAUMKqVTfp5zQ9vIGJhhP6BpGXrrpXW+Q61JQOjq0Vm5tiX&#10;LfYDFjEetYHtKOG6w4YXMWRGcFo1aXfigdDtr3QgB57aJH9JNFb7C5ZKbzn0Iy6nxgYyKuKb0Mow&#10;Wj3erS2SJOtGs1K0d80pe5jX8VZzmakDU9s8nufdD69u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WVq1gAAAAkBAAAPAAAAAAAAAAEAIAAAACIAAABkcnMvZG93bnJldi54bWxQSwECFAAUAAAA&#10;CACHTuJA+UT44vABAAC9AwAADgAAAAAAAAABACAAAAAlAQAAZHJzL2Uyb0RvYy54bWxQSwUGAAAA&#10;AAYABgBZAQAAhwUAAAAA&#10;">
            <v:path arrowok="t"/>
            <v:fill focussize="0,0"/>
            <v:stroke weight="0.5pt" joinstyle="miter"/>
            <v:imagedata o:title=""/>
            <o:lock v:ext="edit"/>
          </v:line>
        </w:pict>
      </w:r>
      <w:r>
        <w:rPr>
          <w:rFonts w:hint="eastAsia" w:ascii="方正仿宋简体" w:hAnsi="方正仿宋简体" w:eastAsia="方正仿宋简体"/>
          <w:sz w:val="32"/>
          <w:szCs w:val="32"/>
        </w:rPr>
        <w:t xml:space="preserve">专业名称：  网络营销 </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sz w:val="32"/>
        </w:rPr>
        <w:pict>
          <v:line id="_x0000_s1029" o:spid="_x0000_s1029" o:spt="20" style="position:absolute;left:0pt;margin-left:168.7pt;margin-top:43.4pt;height:0pt;width:145.5pt;z-index:251660288;mso-width-relative:page;mso-height-relative:page;" coordsize="21600,21600" o:gfxdata="UEsDBAoAAAAAAIdO4kAAAAAAAAAAAAAAAAAEAAAAZHJzL1BLAwQUAAAACACHTuJACamOKdYAAAAJ&#10;AQAADwAAAGRycy9kb3ducmV2LnhtbE2PwU7DMBBE70j8g7VI3KjTFiVRiNMDEgckJCBw4Ogm2ySt&#10;vQ62m4S/ZxEHOO7saOZNuVusERP6MDhSsF4lIJAa1w7UKXh/e7jJQYSoqdXGESr4wgC76vKi1EXr&#10;ZnrFqY6d4BAKhVbQxzgWUoamR6vDyo1I/Ds4b3Xk03ey9XrmcGvkJklSafVA3NDrEe97bE712XIK&#10;ZZ+HxfiPl+enPq/nIz5OGSp1fbVO7kBEXOKfGX7wGR0qZtq7M7VBGAXbbXbLVgV5yhPYkG5yFva/&#10;gqxK+X9B9Q1QSwMEFAAAAAgAh07iQKZQVODhAQAAsQMAAA4AAABkcnMvZTJvRG9jLnhtbK1TzW4T&#10;MRC+I/EOlu9kk0JK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14v5q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qY4p1gAAAAkBAAAP&#10;AAAAAAAAAAEAIAAAACIAAABkcnMvZG93bnJldi54bWxQSwECFAAUAAAACACHTuJAplBU4OEBAACx&#10;AwAADgAAAAAAAAABACAAAAAlAQAAZHJzL2Uyb0RvYy54bWxQSwUGAAAAAAYABgBZAQAAeAUAAAAA&#10;">
            <v:path arrowok="t"/>
            <v:fill focussize="0,0"/>
            <v:stroke weight="0.5pt" joinstyle="miter"/>
            <v:imagedata o:title=""/>
            <o:lock v:ext="edit"/>
          </v:line>
        </w:pict>
      </w:r>
      <w:r>
        <w:rPr>
          <w:rFonts w:hint="eastAsia" w:ascii="方正仿宋简体" w:hAnsi="方正仿宋简体" w:eastAsia="方正仿宋简体"/>
          <w:sz w:val="32"/>
          <w:szCs w:val="32"/>
        </w:rPr>
        <w:t>专业代码：  730704</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sz w:val="32"/>
        </w:rPr>
        <w:pict>
          <v:line id="_x0000_s1028" o:spid="_x0000_s1028" o:spt="20" style="position:absolute;left:0pt;margin-left:167.95pt;margin-top:46.65pt;height:0pt;width:145.5pt;z-index:251661312;mso-width-relative:page;mso-height-relative:page;" coordsize="21600,21600" o:gfxdata="UEsDBAoAAAAAAIdO4kAAAAAAAAAAAAAAAAAEAAAAZHJzL1BLAwQUAAAACACHTuJAfB37EdYAAAAJ&#10;AQAADwAAAGRycy9kb3ducmV2LnhtbE2PwU7DMAyG70i8Q2QkbizdKrqtNN0BiQMSElA4cMxar+2W&#10;OCXJ2vL2GHGAo3//+vy52M3WiBF96B0pWC4SEEi1a3pqFby/PdxsQISoqdHGESr4wgC78vKi0Hnj&#10;JnrFsYqtYAiFXCvoYhxyKUPdodVh4QYk3h2ctzry6FvZeD0x3Bq5SpJMWt0TX+j0gPcd1qfqbJlC&#10;68/DbPzHy/NTt6mmIz6Oa1Tq+mqZ3IGIOMe/MvzoszqU7LR3Z2qCMArS9HbLVQXbNAXBhWyVcbD/&#10;DWRZyP8flN9QSwMEFAAAAAgAh07iQGlnBk7gAQAAsQMAAA4AAABkcnMvZTJvRG9jLnhtbK1TzW4T&#10;MRC+I/EOlu9kkwIhWmXTQ6NyQRAJeADHa+9a8p9m3GzyErwAEjc4ceTO21Aeg7E3TUt76aF78Nrz&#10;8818n8fL872zbKcATfANn02mnCkvQ2t81/DPny5fLDjDJHwrbPCq4QeF/Hz1/NlyiLU6C32wrQJG&#10;IB7rITa8TynWVYWyV07gJETlyakDOJHoCF3VghgI3dnqbDqdV0OANkKQCpGs69HJj4jwGMCgtZFq&#10;HeSVUz6NqKCsSEQJexORr0q3WiuZPmiNKjHbcGKaykpFaL/Na7VairoDEXsjjy2Ix7Rwj5MTxlPR&#10;E9RaJMGuwDyAckZCwKDTRAZXjUSKIsRiNr2nzcdeRFW4kNQYT6Lj08HK97sNMNM2fM6ZF44u/Prr&#10;rz9fvv/9/Y3W658/2DyLNESsKfbCb+B4wriBzHivweU/cWH7IuzhJKzaJybJOFu8erN4TZrLG191&#10;mxgB01sVHMubhlvjM2dRi907TFSMQm9CstmHS2NtuTfr2UCNvyzIgmZR0wxQEReJD/qOM2E7GnKZ&#10;oCBisKbN2RkHodteWGA7kUejfJkoVfsvLJdeC+zHuOIah8aZRO/AGtfwxd1s6wkkyzUKlHfb0B6K&#10;bsVON1nKHKcuj8rdc8m+fWmr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wd+xHWAAAACQEAAA8A&#10;AAAAAAAAAQAgAAAAIgAAAGRycy9kb3ducmV2LnhtbFBLAQIUABQAAAAIAIdO4kBpZwZO4AEAALED&#10;AAAOAAAAAAAAAAEAIAAAACUBAABkcnMvZTJvRG9jLnhtbFBLBQYAAAAABgAGAFkBAAB3BQAAAAA=&#10;">
            <v:path arrowok="t"/>
            <v:fill focussize="0,0"/>
            <v:stroke weight="0.5pt" joinstyle="miter"/>
            <v:imagedata o:title=""/>
            <o:lock v:ext="edit"/>
          </v:line>
        </w:pict>
      </w:r>
      <w:r>
        <w:rPr>
          <w:rFonts w:hint="eastAsia" w:ascii="方正仿宋简体" w:hAnsi="方正仿宋简体" w:eastAsia="方正仿宋简体"/>
          <w:sz w:val="32"/>
          <w:szCs w:val="32"/>
        </w:rPr>
        <w:t>所属系部：  商贸专业部</w:t>
      </w:r>
      <w:r>
        <w:rPr>
          <w:rFonts w:ascii="方正仿宋简体" w:hAnsi="方正仿宋简体" w:eastAsia="方正仿宋简体"/>
          <w:sz w:val="32"/>
          <w:szCs w:val="32"/>
          <w:u w:val="single"/>
        </w:rPr>
        <w:t xml:space="preserve">  </w:t>
      </w:r>
    </w:p>
    <w:p>
      <w:pPr>
        <w:spacing w:line="1000" w:lineRule="exact"/>
        <w:ind w:firstLine="1920" w:firstLineChars="600"/>
        <w:rPr>
          <w:rFonts w:hint="eastAsia" w:ascii="方正仿宋简体" w:hAnsi="方正仿宋简体" w:eastAsia="方正仿宋简体"/>
          <w:sz w:val="32"/>
          <w:szCs w:val="32"/>
        </w:rPr>
      </w:pPr>
      <w:r>
        <w:rPr>
          <w:rFonts w:hint="default" w:ascii="方正仿宋简体" w:hAnsi="方正仿宋简体" w:eastAsia="方正仿宋简体"/>
          <w:sz w:val="32"/>
          <w:szCs w:val="32"/>
          <w:lang w:val="en-US"/>
        </w:rPr>
        <w:pict>
          <v:line id="_x0000_s1030" o:spid="_x0000_s1030" o:spt="20" style="position:absolute;left:0pt;margin-left:167.95pt;margin-top:46.65pt;height:0pt;width:145.5pt;z-index:251663360;mso-width-relative:page;mso-height-relative:page;" coordsize="21600,21600" o:gfxdata="UEsDBAoAAAAAAIdO4kAAAAAAAAAAAAAAAAAEAAAAZHJzL1BLAwQUAAAACACHTuJAfB37EdYAAAAJ&#10;AQAADwAAAGRycy9kb3ducmV2LnhtbE2PwU7DMAyG70i8Q2QkbizdKrqtNN0BiQMSElA4cMxar+2W&#10;OCXJ2vL2GHGAo3//+vy52M3WiBF96B0pWC4SEEi1a3pqFby/PdxsQISoqdHGESr4wgC78vKi0Hnj&#10;JnrFsYqtYAiFXCvoYhxyKUPdodVh4QYk3h2ctzry6FvZeD0x3Bq5SpJMWt0TX+j0gPcd1qfqbJlC&#10;68/DbPzHy/NTt6mmIz6Oa1Tq+mqZ3IGIOMe/MvzoszqU7LR3Z2qCMArS9HbLVQXbNAXBhWyVcbD/&#10;DWRZyP8flN9QSwMEFAAAAAgAh07iQGlnBk7gAQAAsQMAAA4AAABkcnMvZTJvRG9jLnhtbK1TzW4T&#10;MRC+I/EOlu9kkwIhWmXTQ6NyQRAJeADHa+9a8p9m3GzyErwAEjc4ceTO21Aeg7E3TUt76aF78Nrz&#10;8818n8fL872zbKcATfANn02mnCkvQ2t81/DPny5fLDjDJHwrbPCq4QeF/Hz1/NlyiLU6C32wrQJG&#10;IB7rITa8TynWVYWyV07gJETlyakDOJHoCF3VghgI3dnqbDqdV0OANkKQCpGs69HJj4jwGMCgtZFq&#10;HeSVUz6NqKCsSEQJexORr0q3WiuZPmiNKjHbcGKaykpFaL/Na7VairoDEXsjjy2Ix7Rwj5MTxlPR&#10;E9RaJMGuwDyAckZCwKDTRAZXjUSKIsRiNr2nzcdeRFW4kNQYT6Lj08HK97sNMNM2fM6ZF44u/Prr&#10;rz9fvv/9/Y3W658/2DyLNESsKfbCb+B4wriBzHivweU/cWH7IuzhJKzaJybJOFu8erN4TZrLG191&#10;mxgB01sVHMubhlvjM2dRi907TFSMQm9CstmHS2NtuTfr2UCNvyzIgmZR0wxQEReJD/qOM2E7GnKZ&#10;oCBisKbN2RkHodteWGA7kUejfJkoVfsvLJdeC+zHuOIah8aZRO/AGtfwxd1s6wkkyzUKlHfb0B6K&#10;bsVON1nKHKcuj8rdc8m+fWmr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wd+xHWAAAACQEAAA8A&#10;AAAAAAAAAQAgAAAAIgAAAGRycy9kb3ducmV2LnhtbFBLAQIUABQAAAAIAIdO4kBpZwZO4AEAALED&#10;AAAOAAAAAAAAAAEAIAAAACUBAABkcnMvZTJvRG9jLnhtbFBLBQYAAAAABgAGAFkBAAB3BQAAAAA=&#10;">
            <v:path arrowok="t"/>
            <v:fill focussize="0,0"/>
            <v:stroke weight="0.5pt" joinstyle="miter"/>
            <v:imagedata o:title=""/>
            <o:lock v:ext="edit"/>
          </v:line>
        </w:pict>
      </w:r>
      <w:r>
        <w:rPr>
          <w:rFonts w:hint="eastAsia" w:ascii="方正仿宋简体" w:hAnsi="方正仿宋简体" w:eastAsia="方正仿宋简体"/>
          <w:sz w:val="32"/>
          <w:szCs w:val="32"/>
          <w:lang w:val="en-US" w:eastAsia="zh-CN"/>
        </w:rPr>
        <w:t>适用年级</w:t>
      </w:r>
      <w:r>
        <w:rPr>
          <w:rFonts w:hint="eastAsia" w:ascii="方正仿宋简体" w:hAnsi="方正仿宋简体" w:eastAsia="方正仿宋简体"/>
          <w:sz w:val="32"/>
          <w:szCs w:val="32"/>
        </w:rPr>
        <w:t xml:space="preserve">：  </w:t>
      </w:r>
      <w:r>
        <w:rPr>
          <w:rFonts w:hint="eastAsia" w:ascii="方正仿宋简体" w:hAnsi="方正仿宋简体" w:eastAsia="方正仿宋简体"/>
          <w:sz w:val="32"/>
          <w:szCs w:val="32"/>
          <w:lang w:val="en-US" w:eastAsia="zh-CN"/>
        </w:rPr>
        <w:t>2023级</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sz w:val="32"/>
        </w:rPr>
        <w:pict>
          <v:line id="_x0000_s1027" o:spid="_x0000_s1027" o:spt="20" style="position:absolute;left:0pt;margin-left:167.95pt;margin-top:44.65pt;height:0pt;width:145.5pt;z-index:251662336;mso-width-relative:page;mso-height-relative:page;" coordsize="21600,21600" o:gfxdata="UEsDBAoAAAAAAIdO4kAAAAAAAAAAAAAAAAAEAAAAZHJzL1BLAwQUAAAACACHTuJAP0aLUtYAAAAJ&#10;AQAADwAAAGRycy9kb3ducmV2LnhtbE2PwU7DMAyG70i8Q2QkbizdKrquNN0BiQMSElA4cMxary0k&#10;Tkmytrw9Rhzg6N+/Pn8u94s1YkIfBkcK1qsEBFLj2oE6Ba8vd1c5iBA1tdo4QgVfGGBfnZ+Vumjd&#10;TM841bETDKFQaAV9jGMhZWh6tDqs3IjEu6PzVkcefSdbr2eGWyM3SZJJqwfiC70e8bbH5qM+WabQ&#10;9vO4GP/29PjQ5/X8jvfTFpW6vFgnNyAiLvGvDD/6rA4VOx3cidogjII0vd5xVUG+S0FwIdtkHBx+&#10;A1mV8v8H1TdQSwMEFAAAAAgAh07iQBOIGJ3hAQAAsQMAAA4AAABkcnMvZTJvRG9jLnhtbK1TzW4T&#10;MRC+I/EOlu9kkwJN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aL16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otS1gAAAAkBAAAP&#10;AAAAAAAAAAEAIAAAACIAAABkcnMvZG93bnJldi54bWxQSwECFAAUAAAACACHTuJAE4gYneEBAACx&#10;AwAADgAAAAAAAAABACAAAAAlAQAAZHJzL2Uyb0RvYy54bWxQSwUGAAAAAAYABgBZAQAAeAUAAAAA&#10;">
            <v:path arrowok="t"/>
            <v:fill focussize="0,0"/>
            <v:stroke weight="0.5pt" joinstyle="miter"/>
            <v:imagedata o:title=""/>
            <o:lock v:ext="edit"/>
          </v:line>
        </w:pict>
      </w:r>
      <w:r>
        <w:rPr>
          <w:rFonts w:hint="eastAsia" w:ascii="方正仿宋简体" w:hAnsi="方正仿宋简体" w:eastAsia="方正仿宋简体"/>
          <w:sz w:val="32"/>
          <w:szCs w:val="32"/>
        </w:rPr>
        <w:t>修订时间：  202</w:t>
      </w:r>
      <w:r>
        <w:rPr>
          <w:rFonts w:hint="eastAsia" w:ascii="方正仿宋简体" w:hAnsi="方正仿宋简体" w:eastAsia="方正仿宋简体"/>
          <w:sz w:val="32"/>
          <w:szCs w:val="32"/>
          <w:lang w:val="en-US" w:eastAsia="zh-CN"/>
        </w:rPr>
        <w:t>3</w:t>
      </w:r>
      <w:r>
        <w:rPr>
          <w:rFonts w:hint="eastAsia" w:ascii="方正仿宋简体" w:hAnsi="方正仿宋简体" w:eastAsia="方正仿宋简体"/>
          <w:sz w:val="32"/>
          <w:szCs w:val="32"/>
        </w:rPr>
        <w:t>年</w:t>
      </w:r>
      <w:r>
        <w:rPr>
          <w:rFonts w:ascii="方正仿宋简体" w:hAnsi="方正仿宋简体" w:eastAsia="方正仿宋简体"/>
          <w:sz w:val="32"/>
          <w:szCs w:val="32"/>
        </w:rPr>
        <w:t>8</w:t>
      </w:r>
      <w:r>
        <w:rPr>
          <w:rFonts w:hint="eastAsia" w:ascii="方正仿宋简体" w:hAnsi="方正仿宋简体" w:eastAsia="方正仿宋简体"/>
          <w:sz w:val="32"/>
          <w:szCs w:val="32"/>
        </w:rPr>
        <w:t>月</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240" w:lineRule="auto"/>
        <w:ind w:leftChars="0"/>
        <w:jc w:val="center"/>
        <w:rPr>
          <w:rFonts w:hint="eastAsia" w:ascii="方正小标宋简体" w:hAnsi="方正小标宋简体" w:eastAsia="方正小标宋简体"/>
          <w:sz w:val="72"/>
          <w:szCs w:val="72"/>
          <w:lang w:val="en-US" w:eastAsia="zh-CN"/>
        </w:rPr>
        <w:sectPr>
          <w:pgSz w:w="11906" w:h="16838"/>
          <w:pgMar w:top="2098" w:right="1587" w:bottom="1417" w:left="1587" w:header="851" w:footer="992" w:gutter="0"/>
          <w:pgNumType w:start="0"/>
          <w:cols w:space="0" w:num="1"/>
          <w:docGrid w:type="lines" w:linePitch="312" w:charSpace="0"/>
        </w:sectPr>
      </w:pPr>
    </w:p>
    <w:sdt>
      <w:sdtPr>
        <w:rPr>
          <w:rFonts w:hint="eastAsia" w:ascii="方正小标宋简体" w:hAnsi="方正小标宋简体" w:eastAsia="方正小标宋简体"/>
          <w:sz w:val="72"/>
          <w:szCs w:val="72"/>
          <w:lang w:val="en-US" w:eastAsia="zh-CN"/>
        </w:rPr>
        <w:id w:val="147481819"/>
        <w15:color w:val="DBDBDB"/>
        <w:docPartObj>
          <w:docPartGallery w:val="Table of Contents"/>
          <w:docPartUnique/>
        </w:docPartObj>
      </w:sdtPr>
      <w:sdtEndPr>
        <w:rPr>
          <w:rFonts w:hint="eastAsia" w:ascii="方正小标宋简体" w:hAnsi="方正小标宋简体" w:eastAsia="方正小标宋简体"/>
          <w:b/>
          <w:sz w:val="72"/>
          <w:szCs w:val="72"/>
          <w:lang w:val="en-US" w:eastAsia="zh-CN"/>
        </w:rPr>
      </w:sdtEndPr>
      <w:sdtContent>
        <w:p>
          <w:pPr>
            <w:spacing w:line="240" w:lineRule="auto"/>
            <w:ind w:leftChars="0"/>
            <w:jc w:val="center"/>
            <w:rPr>
              <w:rFonts w:hint="eastAsia" w:ascii="黑体" w:hAnsi="黑体" w:eastAsia="黑体" w:cs="黑体"/>
              <w:sz w:val="32"/>
              <w:szCs w:val="32"/>
            </w:rPr>
          </w:pPr>
          <w:r>
            <w:rPr>
              <w:rFonts w:hint="eastAsia" w:ascii="方正小标宋简体" w:hAnsi="方正小标宋简体" w:eastAsia="方正小标宋简体"/>
              <w:sz w:val="72"/>
              <w:szCs w:val="72"/>
            </w:rPr>
            <w:t>目录</w:t>
          </w:r>
          <w:r>
            <w:fldChar w:fldCharType="begin"/>
          </w:r>
          <w:r>
            <w:instrText xml:space="preserve">TOC \o "1-2" \h \u </w:instrText>
          </w:r>
          <w:r>
            <w:fldChar w:fldCharType="separate"/>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_Toc6327 </w:instrText>
          </w:r>
          <w:r>
            <w:rPr>
              <w:rFonts w:hint="eastAsia" w:ascii="黑体" w:hAnsi="黑体" w:eastAsia="黑体" w:cs="黑体"/>
              <w:sz w:val="24"/>
              <w:szCs w:val="24"/>
            </w:rPr>
            <w:fldChar w:fldCharType="separate"/>
          </w:r>
          <w:r>
            <w:rPr>
              <w:rFonts w:hint="eastAsia" w:ascii="黑体" w:hAnsi="黑体" w:eastAsia="黑体" w:cs="黑体"/>
              <w:sz w:val="24"/>
              <w:szCs w:val="24"/>
            </w:rPr>
            <w:t>一、专业概述</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_Toc6327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_Toc14658 </w:instrText>
          </w:r>
          <w:r>
            <w:rPr>
              <w:rFonts w:hint="eastAsia" w:ascii="黑体" w:hAnsi="黑体" w:eastAsia="黑体" w:cs="黑体"/>
              <w:sz w:val="24"/>
              <w:szCs w:val="24"/>
            </w:rPr>
            <w:fldChar w:fldCharType="separate"/>
          </w:r>
          <w:r>
            <w:rPr>
              <w:rFonts w:hint="eastAsia" w:ascii="黑体" w:hAnsi="黑体" w:eastAsia="黑体" w:cs="黑体"/>
              <w:sz w:val="24"/>
              <w:szCs w:val="24"/>
            </w:rPr>
            <w:t>二、专业名称及代码</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_Toc14658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_Toc18239 </w:instrText>
          </w:r>
          <w:r>
            <w:rPr>
              <w:rFonts w:hint="eastAsia" w:ascii="黑体" w:hAnsi="黑体" w:eastAsia="黑体" w:cs="黑体"/>
              <w:sz w:val="24"/>
              <w:szCs w:val="24"/>
            </w:rPr>
            <w:fldChar w:fldCharType="separate"/>
          </w:r>
          <w:r>
            <w:rPr>
              <w:rFonts w:hint="eastAsia" w:ascii="黑体" w:hAnsi="黑体" w:eastAsia="黑体" w:cs="黑体"/>
              <w:sz w:val="24"/>
              <w:szCs w:val="24"/>
            </w:rPr>
            <w:t>三、入学要求</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_Toc18239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_Toc32734 </w:instrText>
          </w:r>
          <w:r>
            <w:rPr>
              <w:rFonts w:hint="eastAsia" w:ascii="黑体" w:hAnsi="黑体" w:eastAsia="黑体" w:cs="黑体"/>
              <w:sz w:val="24"/>
              <w:szCs w:val="24"/>
            </w:rPr>
            <w:fldChar w:fldCharType="separate"/>
          </w:r>
          <w:r>
            <w:rPr>
              <w:rFonts w:hint="eastAsia" w:ascii="黑体" w:hAnsi="黑体" w:eastAsia="黑体" w:cs="黑体"/>
              <w:sz w:val="24"/>
              <w:szCs w:val="24"/>
            </w:rPr>
            <w:t>四、修业年限</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_Toc32734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_Toc23020 </w:instrText>
          </w:r>
          <w:r>
            <w:rPr>
              <w:rFonts w:hint="eastAsia" w:ascii="黑体" w:hAnsi="黑体" w:eastAsia="黑体" w:cs="黑体"/>
              <w:sz w:val="24"/>
              <w:szCs w:val="24"/>
            </w:rPr>
            <w:fldChar w:fldCharType="separate"/>
          </w:r>
          <w:r>
            <w:rPr>
              <w:rFonts w:hint="eastAsia" w:ascii="黑体" w:hAnsi="黑体" w:eastAsia="黑体" w:cs="黑体"/>
              <w:sz w:val="24"/>
              <w:szCs w:val="24"/>
            </w:rPr>
            <w:t>五、职业面向</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_Toc23020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_Toc31985 </w:instrText>
          </w:r>
          <w:r>
            <w:rPr>
              <w:rFonts w:hint="eastAsia" w:ascii="黑体" w:hAnsi="黑体" w:eastAsia="黑体" w:cs="黑体"/>
              <w:sz w:val="24"/>
              <w:szCs w:val="24"/>
            </w:rPr>
            <w:fldChar w:fldCharType="separate"/>
          </w:r>
          <w:r>
            <w:rPr>
              <w:rFonts w:hint="eastAsia" w:ascii="黑体" w:hAnsi="黑体" w:eastAsia="黑体" w:cs="黑体"/>
              <w:sz w:val="24"/>
              <w:szCs w:val="24"/>
            </w:rPr>
            <w:t>六、培养目标与培养规格</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_Toc31985 \h </w:instrText>
          </w:r>
          <w:r>
            <w:rPr>
              <w:rFonts w:hint="eastAsia" w:ascii="黑体" w:hAnsi="黑体" w:eastAsia="黑体" w:cs="黑体"/>
              <w:sz w:val="24"/>
              <w:szCs w:val="24"/>
            </w:rPr>
            <w:fldChar w:fldCharType="separate"/>
          </w:r>
          <w:r>
            <w:rPr>
              <w:rFonts w:hint="eastAsia"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_Toc2433 </w:instrText>
          </w:r>
          <w:r>
            <w:rPr>
              <w:rFonts w:hint="eastAsia" w:ascii="黑体" w:hAnsi="黑体" w:eastAsia="黑体" w:cs="黑体"/>
              <w:sz w:val="24"/>
              <w:szCs w:val="24"/>
            </w:rPr>
            <w:fldChar w:fldCharType="separate"/>
          </w:r>
          <w:r>
            <w:rPr>
              <w:rFonts w:hint="eastAsia" w:ascii="黑体" w:hAnsi="黑体" w:eastAsia="黑体" w:cs="黑体"/>
              <w:sz w:val="24"/>
              <w:szCs w:val="24"/>
            </w:rPr>
            <w:t>（一）培养目标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_Toc2433 \h </w:instrText>
          </w:r>
          <w:r>
            <w:rPr>
              <w:rFonts w:hint="eastAsia" w:ascii="黑体" w:hAnsi="黑体" w:eastAsia="黑体" w:cs="黑体"/>
              <w:sz w:val="24"/>
              <w:szCs w:val="24"/>
            </w:rPr>
            <w:fldChar w:fldCharType="separate"/>
          </w:r>
          <w:r>
            <w:rPr>
              <w:rFonts w:hint="eastAsia"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_Toc10086 </w:instrText>
          </w:r>
          <w:r>
            <w:rPr>
              <w:rFonts w:hint="eastAsia" w:ascii="黑体" w:hAnsi="黑体" w:eastAsia="黑体" w:cs="黑体"/>
              <w:sz w:val="24"/>
              <w:szCs w:val="24"/>
            </w:rPr>
            <w:fldChar w:fldCharType="separate"/>
          </w:r>
          <w:r>
            <w:rPr>
              <w:rFonts w:hint="eastAsia" w:ascii="黑体" w:hAnsi="黑体" w:eastAsia="黑体" w:cs="黑体"/>
              <w:sz w:val="24"/>
              <w:szCs w:val="24"/>
            </w:rPr>
            <w:t>（二）培养规格</w:t>
          </w:r>
          <w:r>
            <w:rPr>
              <w:rFonts w:hint="eastAsia" w:ascii="黑体" w:hAnsi="黑体" w:eastAsia="黑体" w:cs="黑体"/>
              <w:sz w:val="24"/>
              <w:szCs w:val="24"/>
            </w:rPr>
            <w:tab/>
          </w:r>
          <w:r>
            <w:rPr>
              <w:rFonts w:hint="eastAsia" w:ascii="黑体" w:hAnsi="黑体" w:eastAsia="黑体" w:cs="黑体"/>
              <w:sz w:val="24"/>
              <w:szCs w:val="24"/>
              <w:lang w:val="en-US" w:eastAsia="zh-CN"/>
            </w:rPr>
            <w:t>3</w:t>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_Toc21930 </w:instrText>
          </w:r>
          <w:r>
            <w:rPr>
              <w:rFonts w:hint="eastAsia" w:ascii="黑体" w:hAnsi="黑体" w:eastAsia="黑体" w:cs="黑体"/>
              <w:sz w:val="24"/>
              <w:szCs w:val="24"/>
            </w:rPr>
            <w:fldChar w:fldCharType="separate"/>
          </w:r>
          <w:r>
            <w:rPr>
              <w:rFonts w:hint="eastAsia" w:ascii="黑体" w:hAnsi="黑体" w:eastAsia="黑体" w:cs="黑体"/>
              <w:sz w:val="24"/>
              <w:szCs w:val="24"/>
            </w:rPr>
            <w:t>七、课程设置及要求</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_Toc21930 \h </w:instrText>
          </w:r>
          <w:r>
            <w:rPr>
              <w:rFonts w:hint="eastAsia" w:ascii="黑体" w:hAnsi="黑体" w:eastAsia="黑体" w:cs="黑体"/>
              <w:sz w:val="24"/>
              <w:szCs w:val="24"/>
            </w:rPr>
            <w:fldChar w:fldCharType="separate"/>
          </w:r>
          <w:r>
            <w:rPr>
              <w:rFonts w:hint="eastAsia" w:ascii="黑体" w:hAnsi="黑体" w:eastAsia="黑体" w:cs="黑体"/>
              <w:sz w:val="24"/>
              <w:szCs w:val="24"/>
            </w:rPr>
            <w:t>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_Toc31482 </w:instrText>
          </w:r>
          <w:r>
            <w:rPr>
              <w:rFonts w:hint="eastAsia" w:ascii="黑体" w:hAnsi="黑体" w:eastAsia="黑体" w:cs="黑体"/>
              <w:sz w:val="24"/>
              <w:szCs w:val="24"/>
            </w:rPr>
            <w:fldChar w:fldCharType="separate"/>
          </w:r>
          <w:r>
            <w:rPr>
              <w:rFonts w:hint="eastAsia" w:ascii="黑体" w:hAnsi="黑体" w:eastAsia="黑体" w:cs="黑体"/>
              <w:sz w:val="24"/>
              <w:szCs w:val="24"/>
            </w:rPr>
            <w:t>（一）公共基础课程</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_Toc31482 \h </w:instrText>
          </w:r>
          <w:r>
            <w:rPr>
              <w:rFonts w:hint="eastAsia" w:ascii="黑体" w:hAnsi="黑体" w:eastAsia="黑体" w:cs="黑体"/>
              <w:sz w:val="24"/>
              <w:szCs w:val="24"/>
            </w:rPr>
            <w:fldChar w:fldCharType="separate"/>
          </w:r>
          <w:r>
            <w:rPr>
              <w:rFonts w:hint="eastAsia" w:ascii="黑体" w:hAnsi="黑体" w:eastAsia="黑体" w:cs="黑体"/>
              <w:sz w:val="24"/>
              <w:szCs w:val="24"/>
            </w:rPr>
            <w:t>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_Toc25315 </w:instrText>
          </w:r>
          <w:r>
            <w:rPr>
              <w:rFonts w:hint="eastAsia" w:ascii="黑体" w:hAnsi="黑体" w:eastAsia="黑体" w:cs="黑体"/>
              <w:sz w:val="24"/>
              <w:szCs w:val="24"/>
            </w:rPr>
            <w:fldChar w:fldCharType="separate"/>
          </w:r>
          <w:r>
            <w:rPr>
              <w:rFonts w:hint="eastAsia" w:ascii="黑体" w:hAnsi="黑体" w:eastAsia="黑体" w:cs="黑体"/>
              <w:sz w:val="24"/>
              <w:szCs w:val="24"/>
            </w:rPr>
            <w:t>（二）专业基础课程</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_Toc25315 \h </w:instrText>
          </w:r>
          <w:r>
            <w:rPr>
              <w:rFonts w:hint="eastAsia" w:ascii="黑体" w:hAnsi="黑体" w:eastAsia="黑体" w:cs="黑体"/>
              <w:sz w:val="24"/>
              <w:szCs w:val="24"/>
            </w:rPr>
            <w:fldChar w:fldCharType="separate"/>
          </w:r>
          <w:r>
            <w:rPr>
              <w:rFonts w:hint="eastAsia" w:ascii="黑体" w:hAnsi="黑体" w:eastAsia="黑体" w:cs="黑体"/>
              <w:sz w:val="24"/>
              <w:szCs w:val="24"/>
            </w:rPr>
            <w:t>12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_Toc11015 </w:instrText>
          </w:r>
          <w:r>
            <w:rPr>
              <w:rFonts w:hint="eastAsia" w:ascii="黑体" w:hAnsi="黑体" w:eastAsia="黑体" w:cs="黑体"/>
              <w:sz w:val="24"/>
              <w:szCs w:val="24"/>
            </w:rPr>
            <w:fldChar w:fldCharType="separate"/>
          </w:r>
          <w:r>
            <w:rPr>
              <w:rFonts w:hint="eastAsia" w:ascii="黑体" w:hAnsi="黑体" w:eastAsia="黑体" w:cs="黑体"/>
              <w:sz w:val="24"/>
              <w:szCs w:val="24"/>
            </w:rPr>
            <w:t>（三）专业核心课程</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t>3</w:t>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_Toc31921 </w:instrText>
          </w:r>
          <w:r>
            <w:rPr>
              <w:rFonts w:hint="eastAsia" w:ascii="黑体" w:hAnsi="黑体" w:eastAsia="黑体" w:cs="黑体"/>
              <w:sz w:val="24"/>
              <w:szCs w:val="24"/>
            </w:rPr>
            <w:fldChar w:fldCharType="separate"/>
          </w:r>
          <w:r>
            <w:rPr>
              <w:rFonts w:hint="eastAsia" w:ascii="黑体" w:hAnsi="黑体" w:eastAsia="黑体" w:cs="黑体"/>
              <w:sz w:val="24"/>
              <w:szCs w:val="24"/>
            </w:rPr>
            <w:t>（四）专业拓展课程</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t>5</w:t>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_Toc19557 </w:instrText>
          </w:r>
          <w:r>
            <w:rPr>
              <w:rFonts w:hint="eastAsia" w:ascii="黑体" w:hAnsi="黑体" w:eastAsia="黑体" w:cs="黑体"/>
              <w:sz w:val="24"/>
              <w:szCs w:val="24"/>
            </w:rPr>
            <w:fldChar w:fldCharType="separate"/>
          </w:r>
          <w:r>
            <w:rPr>
              <w:rFonts w:hint="eastAsia" w:ascii="黑体" w:hAnsi="黑体" w:eastAsia="黑体" w:cs="黑体"/>
              <w:sz w:val="24"/>
              <w:szCs w:val="24"/>
            </w:rPr>
            <w:t>八、教学进程总体安排</w:t>
          </w:r>
          <w:r>
            <w:rPr>
              <w:rFonts w:hint="eastAsia" w:ascii="黑体" w:hAnsi="黑体" w:eastAsia="黑体" w:cs="黑体"/>
              <w:sz w:val="24"/>
              <w:szCs w:val="24"/>
            </w:rPr>
            <w:tab/>
          </w:r>
          <w:r>
            <w:rPr>
              <w:rFonts w:hint="eastAsia" w:ascii="黑体" w:hAnsi="黑体" w:eastAsia="黑体" w:cs="黑体"/>
              <w:sz w:val="24"/>
              <w:szCs w:val="24"/>
              <w:lang w:val="en-US" w:eastAsia="zh-CN"/>
            </w:rPr>
            <w:t>1</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t>9</w:t>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_Toc1629 </w:instrText>
          </w:r>
          <w:r>
            <w:rPr>
              <w:rFonts w:hint="eastAsia" w:ascii="黑体" w:hAnsi="黑体" w:eastAsia="黑体" w:cs="黑体"/>
              <w:sz w:val="24"/>
              <w:szCs w:val="24"/>
            </w:rPr>
            <w:fldChar w:fldCharType="separate"/>
          </w:r>
          <w:r>
            <w:rPr>
              <w:rFonts w:hint="eastAsia" w:ascii="黑体" w:hAnsi="黑体" w:eastAsia="黑体" w:cs="黑体"/>
              <w:sz w:val="24"/>
              <w:szCs w:val="24"/>
            </w:rPr>
            <w:t>九、</w:t>
          </w:r>
          <w:r>
            <w:rPr>
              <w:rFonts w:hint="eastAsia" w:ascii="黑体" w:hAnsi="黑体" w:eastAsia="黑体" w:cs="黑体"/>
              <w:sz w:val="24"/>
              <w:szCs w:val="24"/>
              <w:lang w:val="en-US" w:eastAsia="zh-CN"/>
            </w:rPr>
            <w:t>实施保障</w:t>
          </w:r>
          <w:r>
            <w:rPr>
              <w:rFonts w:hint="eastAsia" w:ascii="黑体" w:hAnsi="黑体" w:eastAsia="黑体" w:cs="黑体"/>
              <w:sz w:val="24"/>
              <w:szCs w:val="24"/>
            </w:rPr>
            <w:tab/>
          </w:r>
          <w:r>
            <w:rPr>
              <w:rFonts w:hint="eastAsia" w:ascii="黑体" w:hAnsi="黑体" w:eastAsia="黑体" w:cs="黑体"/>
              <w:sz w:val="24"/>
              <w:szCs w:val="24"/>
              <w:lang w:val="en-US" w:eastAsia="zh-CN"/>
            </w:rPr>
            <w:t>2</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t>0</w:t>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_Toc14251 </w:instrText>
          </w:r>
          <w:r>
            <w:rPr>
              <w:rFonts w:hint="eastAsia" w:ascii="黑体" w:hAnsi="黑体" w:eastAsia="黑体" w:cs="黑体"/>
              <w:sz w:val="24"/>
              <w:szCs w:val="24"/>
            </w:rPr>
            <w:fldChar w:fldCharType="separate"/>
          </w:r>
          <w:r>
            <w:rPr>
              <w:rFonts w:hint="eastAsia" w:ascii="黑体" w:hAnsi="黑体" w:eastAsia="黑体" w:cs="黑体"/>
              <w:sz w:val="24"/>
              <w:szCs w:val="24"/>
            </w:rPr>
            <w:t>（一）</w:t>
          </w:r>
          <w:r>
            <w:rPr>
              <w:rFonts w:hint="eastAsia" w:ascii="黑体" w:hAnsi="黑体" w:eastAsia="黑体" w:cs="黑体"/>
              <w:sz w:val="24"/>
              <w:szCs w:val="24"/>
              <w:lang w:val="en-US" w:eastAsia="zh-CN"/>
            </w:rPr>
            <w:t>师资队伍</w:t>
          </w:r>
          <w:r>
            <w:rPr>
              <w:rFonts w:hint="eastAsia" w:ascii="黑体" w:hAnsi="黑体" w:eastAsia="黑体" w:cs="黑体"/>
              <w:sz w:val="24"/>
              <w:szCs w:val="24"/>
            </w:rPr>
            <w:tab/>
          </w:r>
          <w:r>
            <w:rPr>
              <w:rFonts w:hint="eastAsia" w:ascii="黑体" w:hAnsi="黑体" w:eastAsia="黑体" w:cs="黑体"/>
              <w:sz w:val="24"/>
              <w:szCs w:val="24"/>
              <w:lang w:val="en-US" w:eastAsia="zh-CN"/>
            </w:rPr>
            <w:t>2</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t>0</w:t>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_Toc14036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val="en-US" w:eastAsia="zh-CN"/>
            </w:rPr>
            <w:t>二</w:t>
          </w:r>
          <w:r>
            <w:rPr>
              <w:rFonts w:hint="eastAsia" w:ascii="黑体" w:hAnsi="黑体" w:eastAsia="黑体" w:cs="黑体"/>
              <w:sz w:val="24"/>
              <w:szCs w:val="24"/>
            </w:rPr>
            <w:t>）教学设施</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_Toc14036 \h </w:instrText>
          </w:r>
          <w:r>
            <w:rPr>
              <w:rFonts w:hint="eastAsia" w:ascii="黑体" w:hAnsi="黑体" w:eastAsia="黑体" w:cs="黑体"/>
              <w:sz w:val="24"/>
              <w:szCs w:val="24"/>
            </w:rPr>
            <w:fldChar w:fldCharType="separate"/>
          </w:r>
          <w:r>
            <w:rPr>
              <w:rFonts w:hint="eastAsia" w:ascii="黑体" w:hAnsi="黑体" w:eastAsia="黑体" w:cs="黑体"/>
              <w:sz w:val="24"/>
              <w:szCs w:val="24"/>
            </w:rPr>
            <w:t>20</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_Toc11792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val="en-US" w:eastAsia="zh-CN"/>
            </w:rPr>
            <w:t>三</w:t>
          </w:r>
          <w:r>
            <w:rPr>
              <w:rFonts w:hint="eastAsia" w:ascii="黑体" w:hAnsi="黑体" w:eastAsia="黑体" w:cs="黑体"/>
              <w:sz w:val="24"/>
              <w:szCs w:val="24"/>
            </w:rPr>
            <w:t>）教学资源</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_Toc11792 \h </w:instrText>
          </w:r>
          <w:r>
            <w:rPr>
              <w:rFonts w:hint="eastAsia" w:ascii="黑体" w:hAnsi="黑体" w:eastAsia="黑体" w:cs="黑体"/>
              <w:sz w:val="24"/>
              <w:szCs w:val="24"/>
            </w:rPr>
            <w:fldChar w:fldCharType="separate"/>
          </w:r>
          <w:r>
            <w:rPr>
              <w:rFonts w:hint="eastAsia" w:ascii="黑体" w:hAnsi="黑体" w:eastAsia="黑体" w:cs="黑体"/>
              <w:sz w:val="24"/>
              <w:szCs w:val="24"/>
            </w:rPr>
            <w:t>21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_Toc8293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val="en-US" w:eastAsia="zh-CN"/>
            </w:rPr>
            <w:t>四</w:t>
          </w:r>
          <w:r>
            <w:rPr>
              <w:rFonts w:hint="eastAsia" w:ascii="黑体" w:hAnsi="黑体" w:eastAsia="黑体" w:cs="黑体"/>
              <w:sz w:val="24"/>
              <w:szCs w:val="24"/>
            </w:rPr>
            <w:t>）教学方法</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_Toc8293 \h </w:instrText>
          </w:r>
          <w:r>
            <w:rPr>
              <w:rFonts w:hint="eastAsia" w:ascii="黑体" w:hAnsi="黑体" w:eastAsia="黑体" w:cs="黑体"/>
              <w:sz w:val="24"/>
              <w:szCs w:val="24"/>
            </w:rPr>
            <w:fldChar w:fldCharType="separate"/>
          </w:r>
          <w:r>
            <w:rPr>
              <w:rFonts w:hint="eastAsia" w:ascii="黑体" w:hAnsi="黑体" w:eastAsia="黑体" w:cs="黑体"/>
              <w:sz w:val="24"/>
              <w:szCs w:val="24"/>
            </w:rPr>
            <w:t>22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_Toc24252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val="en-US" w:eastAsia="zh-CN"/>
            </w:rPr>
            <w:t>五</w:t>
          </w:r>
          <w:r>
            <w:rPr>
              <w:rFonts w:hint="eastAsia" w:ascii="黑体" w:hAnsi="黑体" w:eastAsia="黑体" w:cs="黑体"/>
              <w:sz w:val="24"/>
              <w:szCs w:val="24"/>
            </w:rPr>
            <w:t>）学习评价</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_Toc24252 \h </w:instrText>
          </w:r>
          <w:r>
            <w:rPr>
              <w:rFonts w:hint="eastAsia" w:ascii="黑体" w:hAnsi="黑体" w:eastAsia="黑体" w:cs="黑体"/>
              <w:sz w:val="24"/>
              <w:szCs w:val="24"/>
            </w:rPr>
            <w:fldChar w:fldCharType="separate"/>
          </w:r>
          <w:r>
            <w:rPr>
              <w:rFonts w:hint="eastAsia" w:ascii="黑体" w:hAnsi="黑体" w:eastAsia="黑体" w:cs="黑体"/>
              <w:sz w:val="24"/>
              <w:szCs w:val="24"/>
            </w:rPr>
            <w:t>23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_Toc19301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val="en-US" w:eastAsia="zh-CN"/>
            </w:rPr>
            <w:t>六</w:t>
          </w:r>
          <w:r>
            <w:rPr>
              <w:rFonts w:hint="eastAsia" w:ascii="黑体" w:hAnsi="黑体" w:eastAsia="黑体" w:cs="黑体"/>
              <w:sz w:val="24"/>
              <w:szCs w:val="24"/>
            </w:rPr>
            <w:t>）质量管理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_Toc19301 \h </w:instrText>
          </w:r>
          <w:r>
            <w:rPr>
              <w:rFonts w:hint="eastAsia" w:ascii="黑体" w:hAnsi="黑体" w:eastAsia="黑体" w:cs="黑体"/>
              <w:sz w:val="24"/>
              <w:szCs w:val="24"/>
            </w:rPr>
            <w:fldChar w:fldCharType="separate"/>
          </w:r>
          <w:r>
            <w:rPr>
              <w:rFonts w:hint="eastAsia" w:ascii="黑体" w:hAnsi="黑体" w:eastAsia="黑体" w:cs="黑体"/>
              <w:sz w:val="24"/>
              <w:szCs w:val="24"/>
            </w:rPr>
            <w:t>24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_Toc5968 </w:instrText>
          </w:r>
          <w:r>
            <w:rPr>
              <w:rFonts w:hint="eastAsia" w:ascii="黑体" w:hAnsi="黑体" w:eastAsia="黑体" w:cs="黑体"/>
              <w:sz w:val="24"/>
              <w:szCs w:val="24"/>
            </w:rPr>
            <w:fldChar w:fldCharType="separate"/>
          </w:r>
          <w:r>
            <w:rPr>
              <w:rFonts w:hint="eastAsia" w:ascii="黑体" w:hAnsi="黑体" w:eastAsia="黑体" w:cs="黑体"/>
              <w:sz w:val="24"/>
              <w:szCs w:val="24"/>
            </w:rPr>
            <w:t>十一、毕业要求</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_Toc5968 \h </w:instrText>
          </w:r>
          <w:r>
            <w:rPr>
              <w:rFonts w:hint="eastAsia" w:ascii="黑体" w:hAnsi="黑体" w:eastAsia="黑体" w:cs="黑体"/>
              <w:sz w:val="24"/>
              <w:szCs w:val="24"/>
            </w:rPr>
            <w:fldChar w:fldCharType="separate"/>
          </w:r>
          <w:r>
            <w:rPr>
              <w:rFonts w:hint="eastAsia" w:ascii="黑体" w:hAnsi="黑体" w:eastAsia="黑体" w:cs="黑体"/>
              <w:sz w:val="24"/>
              <w:szCs w:val="24"/>
            </w:rPr>
            <w:t>24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spacing w:after="156" w:afterLines="50" w:line="560" w:lineRule="exact"/>
            <w:jc w:val="center"/>
            <w:rPr>
              <w:rFonts w:hint="eastAsia" w:ascii="方正小标宋简体" w:hAnsi="方正小标宋简体" w:eastAsia="方正小标宋简体"/>
              <w:b/>
              <w:sz w:val="72"/>
              <w:szCs w:val="72"/>
              <w:lang w:val="en-US" w:eastAsia="zh-CN"/>
            </w:rPr>
          </w:pPr>
          <w:r>
            <w:fldChar w:fldCharType="end"/>
          </w:r>
        </w:p>
      </w:sdtContent>
    </w:sdt>
    <w:p>
      <w:pPr>
        <w:spacing w:after="156" w:afterLines="50" w:line="560" w:lineRule="exact"/>
        <w:jc w:val="center"/>
        <w:rPr>
          <w:rFonts w:hint="eastAsia" w:ascii="方正小标宋简体" w:hAnsi="方正小标宋简体" w:eastAsia="方正小标宋简体"/>
          <w:b/>
          <w:sz w:val="72"/>
          <w:szCs w:val="72"/>
          <w:lang w:val="en-US" w:eastAsia="zh-CN"/>
        </w:rPr>
      </w:pPr>
    </w:p>
    <w:p>
      <w:pPr>
        <w:spacing w:after="156" w:afterLines="50" w:line="560" w:lineRule="exact"/>
        <w:jc w:val="center"/>
        <w:rPr>
          <w:rFonts w:hint="eastAsia" w:ascii="方正小标宋简体" w:hAnsi="方正小标宋简体" w:eastAsia="方正小标宋简体" w:cs="黑体"/>
          <w:bCs/>
          <w:sz w:val="44"/>
          <w:szCs w:val="44"/>
          <w:lang w:val="en-US" w:eastAsia="zh-CN"/>
        </w:rPr>
      </w:pPr>
    </w:p>
    <w:p>
      <w:pPr>
        <w:spacing w:after="156" w:afterLines="50" w:line="560" w:lineRule="exact"/>
        <w:jc w:val="center"/>
        <w:rPr>
          <w:rFonts w:hint="eastAsia" w:ascii="方正小标宋简体" w:hAnsi="方正小标宋简体" w:eastAsia="方正小标宋简体" w:cs="黑体"/>
          <w:bCs/>
          <w:sz w:val="44"/>
          <w:szCs w:val="44"/>
          <w:lang w:val="en-US" w:eastAsia="zh-CN"/>
        </w:rPr>
        <w:sectPr>
          <w:footerReference r:id="rId3" w:type="default"/>
          <w:pgSz w:w="11906" w:h="16838"/>
          <w:pgMar w:top="2098" w:right="1587" w:bottom="1417" w:left="1587" w:header="851" w:footer="992" w:gutter="0"/>
          <w:pgNumType w:start="1"/>
          <w:cols w:space="0" w:num="1"/>
          <w:docGrid w:type="lines" w:linePitch="312" w:charSpace="0"/>
        </w:sectPr>
      </w:pPr>
    </w:p>
    <w:p>
      <w:pPr>
        <w:spacing w:after="156" w:afterLines="50" w:line="560" w:lineRule="exact"/>
        <w:jc w:val="center"/>
        <w:rPr>
          <w:rFonts w:ascii="方正小标宋简体" w:hAnsi="方正小标宋简体" w:eastAsia="方正小标宋简体" w:cs="黑体"/>
          <w:bCs/>
          <w:color w:val="FF0000"/>
          <w:sz w:val="44"/>
          <w:szCs w:val="44"/>
        </w:rPr>
      </w:pPr>
      <w:r>
        <w:rPr>
          <w:rFonts w:hint="eastAsia" w:ascii="方正小标宋简体" w:hAnsi="方正小标宋简体" w:eastAsia="方正小标宋简体" w:cs="黑体"/>
          <w:bCs/>
          <w:sz w:val="44"/>
          <w:szCs w:val="44"/>
          <w:lang w:val="en-US" w:eastAsia="zh-CN"/>
        </w:rPr>
        <w:t>2023级</w:t>
      </w:r>
      <w:r>
        <w:rPr>
          <w:rFonts w:hint="eastAsia" w:ascii="方正小标宋简体" w:hAnsi="方正小标宋简体" w:eastAsia="方正小标宋简体" w:cs="黑体"/>
          <w:bCs/>
          <w:sz w:val="44"/>
          <w:szCs w:val="44"/>
        </w:rPr>
        <w:t>网络营销专业人才培养方案</w:t>
      </w:r>
      <w:bookmarkEnd w:id="0"/>
      <w:bookmarkEnd w:id="1"/>
      <w:bookmarkEnd w:id="2"/>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一、专业概述</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网络营销是以现代营销理论为基础，借助网络、通信和数字媒体技术等实现营销目标的商务活动。对接营销产业数字化，网络化、智能化发展新趋势，对接新产业、新业态、新模式下网络营销等岗位（群）的新要求，不断满足网络营销领域高质量发展对高素质劳动者和技术技能人才的需求，推动职业教育专业升级和数字化改造，提高人才培养质量，遵循推进职业教育高质量发展的总体要求，参照国家相关标准编制要求，制订本方案。</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二</w:t>
      </w:r>
      <w:r>
        <w:rPr>
          <w:rFonts w:eastAsia="黑体"/>
          <w:sz w:val="32"/>
          <w:szCs w:val="32"/>
        </w:rPr>
        <w:t>、专业名称及代码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专业名称：网络营销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专业代码：730704</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三</w:t>
      </w:r>
      <w:r>
        <w:rPr>
          <w:rFonts w:eastAsia="黑体"/>
          <w:sz w:val="32"/>
          <w:szCs w:val="32"/>
        </w:rPr>
        <w:t>、入学要求</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初中毕业生或具有同等学力者。</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四</w:t>
      </w:r>
      <w:r>
        <w:rPr>
          <w:rFonts w:eastAsia="黑体"/>
          <w:sz w:val="32"/>
          <w:szCs w:val="32"/>
        </w:rPr>
        <w:t>、修业年限</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三年</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五</w:t>
      </w:r>
      <w:r>
        <w:rPr>
          <w:rFonts w:eastAsia="黑体"/>
          <w:sz w:val="32"/>
          <w:szCs w:val="32"/>
        </w:rPr>
        <w:t>、职业面向</w:t>
      </w:r>
    </w:p>
    <w:p>
      <w:pPr>
        <w:spacing w:line="560" w:lineRule="exact"/>
        <w:ind w:firstLine="584"/>
        <w:rPr>
          <w:rFonts w:ascii="仿宋" w:hAnsi="仿宋" w:eastAsia="仿宋" w:cs="Times New Roman"/>
          <w:sz w:val="32"/>
          <w:szCs w:val="32"/>
        </w:rPr>
      </w:pPr>
      <w:r>
        <w:rPr>
          <w:rFonts w:hint="eastAsia" w:ascii="仿宋" w:hAnsi="仿宋" w:eastAsia="仿宋"/>
          <w:sz w:val="32"/>
          <w:szCs w:val="32"/>
        </w:rPr>
        <w:t>本专业主要面向企、事业单位从事市场开发、营销推广、企业策划、经营管理等工作，同时也可自主创业或在其他企事业单位从事与本专业相关的市场策划等工作。</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2"/>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tcPr>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所属专业大类</w:t>
            </w:r>
          </w:p>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（代码</w:t>
            </w:r>
            <w:r>
              <w:rPr>
                <w:rFonts w:ascii="仿宋" w:hAnsi="仿宋" w:eastAsia="仿宋" w:cs="Times New Roman"/>
                <w:sz w:val="32"/>
                <w:szCs w:val="32"/>
              </w:rPr>
              <w:t>）</w:t>
            </w:r>
          </w:p>
        </w:tc>
        <w:tc>
          <w:tcPr>
            <w:tcW w:w="6530" w:type="dxa"/>
          </w:tcPr>
          <w:p>
            <w:pPr>
              <w:spacing w:line="560" w:lineRule="exact"/>
              <w:rPr>
                <w:rFonts w:ascii="仿宋" w:hAnsi="仿宋" w:eastAsia="仿宋" w:cs="Times New Roman"/>
                <w:sz w:val="32"/>
                <w:szCs w:val="32"/>
              </w:rPr>
            </w:pPr>
            <w:r>
              <w:rPr>
                <w:rFonts w:hint="eastAsia" w:ascii="仿宋" w:hAnsi="仿宋" w:eastAsia="仿宋" w:cs="Times New Roman"/>
                <w:sz w:val="32"/>
                <w:szCs w:val="32"/>
              </w:rPr>
              <w:t>财经商贸大类（73）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tcPr>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所属专业类</w:t>
            </w:r>
          </w:p>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（代码）</w:t>
            </w:r>
          </w:p>
        </w:tc>
        <w:tc>
          <w:tcPr>
            <w:tcW w:w="6530" w:type="dxa"/>
          </w:tcPr>
          <w:p>
            <w:pPr>
              <w:spacing w:line="560" w:lineRule="exact"/>
              <w:rPr>
                <w:rFonts w:ascii="仿宋" w:hAnsi="仿宋" w:eastAsia="仿宋" w:cs="Times New Roman"/>
                <w:sz w:val="32"/>
                <w:szCs w:val="32"/>
              </w:rPr>
            </w:pPr>
            <w:r>
              <w:rPr>
                <w:rFonts w:hint="eastAsia" w:ascii="仿宋" w:hAnsi="仿宋" w:eastAsia="仿宋" w:cs="Times New Roman"/>
                <w:sz w:val="32"/>
                <w:szCs w:val="32"/>
              </w:rPr>
              <w:t>电子商务类（7307）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tcPr>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对应行业</w:t>
            </w:r>
          </w:p>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（代码）</w:t>
            </w:r>
          </w:p>
        </w:tc>
        <w:tc>
          <w:tcPr>
            <w:tcW w:w="6530" w:type="dxa"/>
          </w:tcPr>
          <w:p>
            <w:pPr>
              <w:spacing w:line="560" w:lineRule="exact"/>
              <w:rPr>
                <w:rFonts w:ascii="仿宋" w:hAnsi="仿宋" w:eastAsia="仿宋" w:cs="Times New Roman"/>
                <w:sz w:val="32"/>
                <w:szCs w:val="32"/>
              </w:rPr>
            </w:pPr>
            <w:r>
              <w:rPr>
                <w:rFonts w:hint="eastAsia" w:ascii="仿宋" w:hAnsi="仿宋" w:eastAsia="仿宋" w:cs="Times New Roman"/>
                <w:sz w:val="32"/>
                <w:szCs w:val="32"/>
              </w:rPr>
              <w:t>互联网和相关服务（64）；批发（51）；零售业（52）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2192" w:type="dxa"/>
          </w:tcPr>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主要职业类别（代码）</w:t>
            </w:r>
          </w:p>
        </w:tc>
        <w:tc>
          <w:tcPr>
            <w:tcW w:w="6530" w:type="dxa"/>
          </w:tcPr>
          <w:p>
            <w:pPr>
              <w:spacing w:line="560" w:lineRule="exact"/>
              <w:jc w:val="left"/>
              <w:rPr>
                <w:rFonts w:ascii="仿宋" w:hAnsi="仿宋" w:eastAsia="仿宋"/>
                <w:sz w:val="32"/>
                <w:szCs w:val="32"/>
              </w:rPr>
            </w:pPr>
            <w:r>
              <w:rPr>
                <w:rFonts w:hint="eastAsia" w:ascii="仿宋" w:hAnsi="仿宋" w:eastAsia="仿宋"/>
                <w:sz w:val="32"/>
                <w:szCs w:val="32"/>
              </w:rPr>
              <w:t>营销员（4-01-02-01）；客户服务管理员（4-07-02-03）；</w:t>
            </w:r>
          </w:p>
          <w:p>
            <w:pPr>
              <w:spacing w:line="560" w:lineRule="exact"/>
              <w:rPr>
                <w:rFonts w:ascii="仿宋" w:hAnsi="仿宋" w:eastAsia="仿宋"/>
                <w:sz w:val="32"/>
                <w:szCs w:val="32"/>
              </w:rPr>
            </w:pPr>
            <w:r>
              <w:rPr>
                <w:rFonts w:hint="eastAsia" w:ascii="仿宋" w:hAnsi="仿宋" w:eastAsia="仿宋"/>
                <w:sz w:val="32"/>
                <w:szCs w:val="32"/>
              </w:rPr>
              <w:t>销售主管（6610020）；</w:t>
            </w:r>
            <w:r>
              <w:rPr>
                <w:rFonts w:ascii="仿宋" w:hAnsi="仿宋" w:eastAsia="仿宋"/>
                <w:sz w:val="32"/>
                <w:szCs w:val="32"/>
              </w:rPr>
              <w:t>活动策划员</w:t>
            </w:r>
            <w:r>
              <w:rPr>
                <w:rFonts w:hint="eastAsia" w:ascii="仿宋" w:hAnsi="仿宋" w:eastAsia="仿宋"/>
                <w:sz w:val="32"/>
                <w:szCs w:val="32"/>
              </w:rPr>
              <w:t>（30300202）；</w:t>
            </w:r>
          </w:p>
          <w:p>
            <w:pPr>
              <w:spacing w:line="560" w:lineRule="exact"/>
              <w:rPr>
                <w:rFonts w:ascii="仿宋" w:hAnsi="仿宋" w:eastAsia="仿宋" w:cs="Times New Roman"/>
                <w:sz w:val="32"/>
                <w:szCs w:val="32"/>
              </w:rPr>
            </w:pPr>
            <w:r>
              <w:rPr>
                <w:rFonts w:hint="eastAsia" w:ascii="仿宋" w:hAnsi="仿宋" w:eastAsia="仿宋"/>
                <w:sz w:val="32"/>
                <w:szCs w:val="32"/>
              </w:rPr>
              <w:t>网页设计员（2021306）；网站维护员(2021307)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tcPr>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主要岗位类别</w:t>
            </w:r>
          </w:p>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（或技术领域）</w:t>
            </w:r>
          </w:p>
        </w:tc>
        <w:tc>
          <w:tcPr>
            <w:tcW w:w="6530" w:type="dxa"/>
          </w:tcPr>
          <w:p>
            <w:pPr>
              <w:spacing w:line="560" w:lineRule="exact"/>
              <w:rPr>
                <w:rFonts w:ascii="仿宋" w:hAnsi="仿宋" w:eastAsia="仿宋"/>
                <w:sz w:val="32"/>
                <w:szCs w:val="32"/>
              </w:rPr>
            </w:pPr>
            <w:r>
              <w:rPr>
                <w:rFonts w:hint="eastAsia" w:ascii="仿宋" w:hAnsi="仿宋" w:eastAsia="仿宋"/>
                <w:sz w:val="32"/>
                <w:szCs w:val="32"/>
              </w:rPr>
              <w:t>网络销售员；营销客服专员；策划推广员；网页设计员；</w:t>
            </w:r>
          </w:p>
          <w:p>
            <w:pPr>
              <w:spacing w:line="560" w:lineRule="exact"/>
              <w:rPr>
                <w:rFonts w:ascii="仿宋" w:hAnsi="仿宋" w:eastAsia="仿宋" w:cs="Times New Roman"/>
                <w:sz w:val="32"/>
                <w:szCs w:val="32"/>
              </w:rPr>
            </w:pPr>
            <w:r>
              <w:rPr>
                <w:rFonts w:hint="eastAsia" w:ascii="仿宋" w:hAnsi="仿宋" w:eastAsia="仿宋"/>
                <w:sz w:val="32"/>
                <w:szCs w:val="32"/>
              </w:rPr>
              <w:t>新媒体运营；网店美工；网站编辑；销售经理；项目经理。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tcPr>
          <w:p>
            <w:pPr>
              <w:spacing w:line="560" w:lineRule="exact"/>
              <w:rPr>
                <w:rFonts w:ascii="仿宋" w:hAnsi="仿宋" w:eastAsia="仿宋" w:cs="Times New Roman"/>
                <w:sz w:val="32"/>
                <w:szCs w:val="32"/>
              </w:rPr>
            </w:pPr>
            <w:r>
              <w:rPr>
                <w:rFonts w:hint="eastAsia" w:ascii="仿宋" w:hAnsi="仿宋" w:eastAsia="仿宋" w:cs="Times New Roman"/>
                <w:sz w:val="32"/>
                <w:szCs w:val="32"/>
              </w:rPr>
              <w:t>职业类证书举例</w:t>
            </w:r>
          </w:p>
        </w:tc>
        <w:tc>
          <w:tcPr>
            <w:tcW w:w="6530" w:type="dxa"/>
          </w:tcPr>
          <w:p>
            <w:pPr>
              <w:spacing w:line="560" w:lineRule="exact"/>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X</w:t>
            </w:r>
            <w:r>
              <w:rPr>
                <w:rFonts w:hint="eastAsia" w:ascii="仿宋" w:hAnsi="仿宋" w:eastAsia="仿宋" w:cs="Times New Roman"/>
                <w:sz w:val="32"/>
                <w:szCs w:val="32"/>
              </w:rPr>
              <w:t>数字营销职业技能等级证书；</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1+X直播电商职业技能等级证书；</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X</w:t>
            </w:r>
            <w:r>
              <w:rPr>
                <w:rFonts w:hint="eastAsia" w:ascii="仿宋" w:hAnsi="仿宋" w:eastAsia="仿宋" w:cs="Times New Roman"/>
                <w:sz w:val="32"/>
                <w:szCs w:val="32"/>
              </w:rPr>
              <w:t>自媒体运营职业技能等级证书；</w:t>
            </w:r>
          </w:p>
        </w:tc>
      </w:tr>
    </w:tbl>
    <w:p>
      <w:pPr>
        <w:numPr>
          <w:ilvl w:val="0"/>
          <w:numId w:val="1"/>
        </w:numPr>
        <w:overflowPunct w:val="0"/>
        <w:adjustRightInd w:val="0"/>
        <w:spacing w:line="560" w:lineRule="exact"/>
        <w:ind w:firstLine="640" w:firstLineChars="200"/>
        <w:outlineLvl w:val="0"/>
        <w:rPr>
          <w:rFonts w:eastAsia="黑体"/>
          <w:sz w:val="32"/>
          <w:szCs w:val="32"/>
        </w:rPr>
      </w:pPr>
      <w:r>
        <w:rPr>
          <w:rFonts w:eastAsia="黑体"/>
          <w:sz w:val="32"/>
          <w:szCs w:val="32"/>
        </w:rPr>
        <w:t>培养目标与培养规格</w:t>
      </w:r>
    </w:p>
    <w:p>
      <w:pPr>
        <w:overflowPunct w:val="0"/>
        <w:adjustRightInd w:val="0"/>
        <w:spacing w:line="560" w:lineRule="exact"/>
        <w:ind w:firstLine="640" w:firstLineChars="200"/>
        <w:outlineLvl w:val="0"/>
        <w:rPr>
          <w:rFonts w:ascii="楷体" w:hAnsi="楷体" w:eastAsia="楷体" w:cs="楷体"/>
          <w:bCs/>
          <w:sz w:val="32"/>
          <w:szCs w:val="32"/>
        </w:rPr>
      </w:pPr>
      <w:r>
        <w:rPr>
          <w:rFonts w:hint="eastAsia" w:ascii="楷体" w:hAnsi="楷体" w:eastAsia="楷体" w:cs="楷体"/>
          <w:bCs/>
          <w:sz w:val="32"/>
          <w:szCs w:val="32"/>
        </w:rPr>
        <w:t>（一）培养目标</w:t>
      </w:r>
    </w:p>
    <w:p>
      <w:pPr>
        <w:adjustRightInd w:val="0"/>
        <w:snapToGrid w:val="0"/>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专业是培养适应社会主义现代化建设需要的德、智、体、美全面发展，具备现代网络知识和计算机技术应用技能，掌握电子商务基础知识和技能，并熟悉微信、微博、社群、短视频等新媒体营销知识，具备文案编辑、视频剪辑、短视频策划、短视频运营、SEO推广等能力。能实现消费者的网上购物、企业网上经营、商户之间的网上交易、在线电子支付活动、互联网金融管理技能，掌握独立从事市场调研、营销策划、网上销售的能力，面向服务、管理第一线岗位需求的高素质、技能型专门人才。</w:t>
      </w:r>
    </w:p>
    <w:p>
      <w:pPr>
        <w:overflowPunct w:val="0"/>
        <w:adjustRightInd w:val="0"/>
        <w:spacing w:line="560" w:lineRule="exact"/>
        <w:ind w:firstLine="640" w:firstLineChars="200"/>
        <w:outlineLvl w:val="0"/>
        <w:rPr>
          <w:rFonts w:ascii="楷体" w:hAnsi="楷体" w:eastAsia="楷体" w:cs="楷体"/>
          <w:bCs/>
          <w:color w:val="auto"/>
          <w:sz w:val="32"/>
          <w:szCs w:val="32"/>
        </w:rPr>
      </w:pPr>
      <w:r>
        <w:rPr>
          <w:rFonts w:hint="eastAsia" w:ascii="楷体" w:hAnsi="楷体" w:eastAsia="楷体" w:cs="楷体"/>
          <w:bCs/>
          <w:color w:val="auto"/>
          <w:sz w:val="32"/>
          <w:szCs w:val="32"/>
        </w:rPr>
        <w:t>（二）培养规格</w:t>
      </w:r>
    </w:p>
    <w:p>
      <w:pPr>
        <w:adjustRightInd w:val="0"/>
        <w:snapToGrid w:val="0"/>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本专业学生应在系统学习本专业知识并完成有关实习实训基础上，全面提升素质、知识、能力，掌握并实际运用岗位（群）需要的专业技术技能，总体上须达到以下要求。</w:t>
      </w:r>
    </w:p>
    <w:p>
      <w:pPr>
        <w:keepNext w:val="0"/>
        <w:keepLines w:val="0"/>
        <w:pageBreakBefore w:val="0"/>
        <w:widowControl w:val="0"/>
        <w:numPr>
          <w:ilvl w:val="0"/>
          <w:numId w:val="2"/>
        </w:numPr>
        <w:kinsoku/>
        <w:wordWrap/>
        <w:overflowPunct w:val="0"/>
        <w:topLinePunct w:val="0"/>
        <w:autoSpaceDE/>
        <w:autoSpaceDN/>
        <w:bidi w:val="0"/>
        <w:adjustRightInd w:val="0"/>
        <w:snapToGrid/>
        <w:spacing w:line="560" w:lineRule="exact"/>
        <w:ind w:leftChars="200"/>
        <w:textAlignment w:val="auto"/>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职业素养</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firstLine="640" w:firstLineChars="200"/>
        <w:textAlignment w:val="auto"/>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（1）培养爱岗敬业、奉献精神、培养大国工匠精神，具有良好的品德修养、健康的身心健康素质，爱国守法。</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（2）具有正确的择业观和良好的职业道德，能够顺畅地与领导、同事沟通交流工作过程中遇到的各种问题及解决办法。</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（3）具有良好的团队合作精神，在团队中遵守组织纪律。</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（4）学会与他人合作，积极参与团队分配的各项工作任务，积极献策，发挥团队精神。积极参与并承担一定的组织活动，积极组织及策划活动安排。</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（5）积极参加各种职业能力培训，努力提升自己。</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（6）建设美丽中国的生态文明意识。</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（7）积极规划自己的职业生涯。</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Chars="200"/>
        <w:textAlignment w:val="auto"/>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2.专业知识和技能</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Chars="200"/>
        <w:textAlignment w:val="auto"/>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核心：</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（1）熟悉网络营销关键性活动业务流程，熟练掌握营销技能，可以独立完成相关职业岗位的业务操作。</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（2）具备网站运营、消费者行为学分析、竞争分析、新媒体运营、媒体关系管理等专业知识，可以胜任相关岗位工作。</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能力：</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（1）能够独立</w:t>
      </w:r>
      <w:r>
        <w:rPr>
          <w:rFonts w:hint="eastAsia" w:ascii="仿宋" w:hAnsi="仿宋" w:eastAsia="仿宋"/>
          <w:color w:val="auto"/>
          <w:sz w:val="32"/>
          <w:szCs w:val="32"/>
        </w:rPr>
        <w:t>分析所在公司在网络上面的盈利模式，运作模式。定位所属行业内的精准客户群</w:t>
      </w:r>
      <w:r>
        <w:rPr>
          <w:rFonts w:hint="eastAsia" w:ascii="仿宋" w:hAnsi="仿宋" w:eastAsia="仿宋"/>
          <w:color w:val="auto"/>
          <w:sz w:val="32"/>
          <w:szCs w:val="32"/>
          <w:lang w:eastAsia="zh-CN"/>
        </w:rPr>
        <w:t>，</w:t>
      </w:r>
      <w:r>
        <w:rPr>
          <w:rFonts w:hint="eastAsia" w:ascii="仿宋" w:hAnsi="仿宋" w:eastAsia="仿宋"/>
          <w:color w:val="auto"/>
          <w:sz w:val="32"/>
          <w:szCs w:val="32"/>
        </w:rPr>
        <w:t>选择具有针对性的推广方法。</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（2）具备一定的文案创意与撰写的能力，能够挖掘客户需求，制定文案创意。</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目标：</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（1）能够根据企业网络广告投放目标策划并制作网络广告，合理规划投放时间、资金预算进行精准投放。</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（2）能够策划活动方案、整合资源，进行活动实施与监控。</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（3）能够开发客户、服务客户、维护客户，提升企业满意度。</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（4）能够进行初步的社群营销策划及运营，能够自建社群并开展社群运营活动。</w:t>
      </w:r>
    </w:p>
    <w:p>
      <w:pPr>
        <w:adjustRightInd w:val="0"/>
        <w:snapToGrid w:val="0"/>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网络营销专业的优势和特色包括精准的目标市场定位、多样化的营销渠道、节约成本、精准的数据分析以及实时互动。这些优势和特色使得网络营销成为了企业和品牌在当今市场中必不可少的推广手段。对于想要提高品牌知名度、吸引更多客户、增加销售量的企业来说，网络营销专业的技能和知识是非常重要的。因此，不断学习和掌握网络营销专业的技能和知识，将是企业和个人未来发展的重要方向之一。</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七</w:t>
      </w:r>
      <w:r>
        <w:rPr>
          <w:rFonts w:eastAsia="黑体"/>
          <w:sz w:val="32"/>
          <w:szCs w:val="32"/>
        </w:rPr>
        <w:t>、课程设置及要求</w:t>
      </w:r>
    </w:p>
    <w:p>
      <w:pPr>
        <w:overflowPunct w:val="0"/>
        <w:adjustRightInd w:val="0"/>
        <w:spacing w:line="560" w:lineRule="exact"/>
        <w:ind w:left="740" w:leftChars="200" w:hanging="320" w:hangingChars="100"/>
        <w:outlineLvl w:val="0"/>
        <w:rPr>
          <w:rFonts w:ascii="楷体" w:hAnsi="楷体" w:eastAsia="楷体" w:cs="楷体"/>
          <w:sz w:val="32"/>
          <w:szCs w:val="32"/>
        </w:rPr>
      </w:pPr>
      <w:r>
        <w:rPr>
          <w:rFonts w:hint="eastAsia" w:ascii="楷体" w:hAnsi="楷体" w:eastAsia="楷体" w:cs="楷体"/>
          <w:sz w:val="32"/>
          <w:szCs w:val="32"/>
        </w:rPr>
        <w:t>（一）公共基础课程</w:t>
      </w:r>
    </w:p>
    <w:p>
      <w:pPr>
        <w:overflowPunct w:val="0"/>
        <w:adjustRightInd w:val="0"/>
        <w:spacing w:line="560" w:lineRule="exact"/>
        <w:ind w:left="630" w:leftChars="300"/>
        <w:outlineLvl w:val="0"/>
        <w:rPr>
          <w:rFonts w:ascii="仿宋_GB2312" w:hAnsi="仿宋_GB2312" w:eastAsia="仿宋_GB2312" w:cs="仿宋_GB2312"/>
          <w:sz w:val="32"/>
          <w:szCs w:val="32"/>
        </w:rPr>
      </w:pPr>
      <w:r>
        <w:rPr>
          <w:rFonts w:hint="eastAsia" w:ascii="仿宋" w:hAnsi="仿宋" w:eastAsia="仿宋"/>
          <w:sz w:val="32"/>
          <w:szCs w:val="32"/>
        </w:rPr>
        <w:t>1．思想政治</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）中国特色社会主义</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w:t>
      </w:r>
      <w:r>
        <w:rPr>
          <w:rFonts w:ascii="仿宋" w:hAnsi="仿宋" w:eastAsia="仿宋"/>
          <w:sz w:val="32"/>
          <w:szCs w:val="32"/>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r>
        <w:rPr>
          <w:rFonts w:hint="eastAsia" w:ascii="仿宋" w:hAnsi="仿宋" w:eastAsia="仿宋"/>
          <w:sz w:val="32"/>
          <w:szCs w:val="32"/>
        </w:rPr>
        <w:t>。</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（2）心理健康与职业生涯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w:t>
      </w:r>
      <w:r>
        <w:rPr>
          <w:rFonts w:ascii="仿宋" w:hAnsi="仿宋" w:eastAsia="仿宋"/>
          <w:sz w:val="32"/>
          <w:szCs w:val="32"/>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（3）哲学与人生</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r>
        <w:rPr>
          <w:rFonts w:hint="eastAsia" w:ascii="仿宋" w:hAnsi="仿宋" w:eastAsia="仿宋"/>
          <w:sz w:val="32"/>
          <w:szCs w:val="32"/>
        </w:rPr>
        <w:t>。</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（4）职业道德与法治</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r>
        <w:rPr>
          <w:rFonts w:hint="eastAsia" w:ascii="仿宋" w:hAnsi="仿宋" w:eastAsia="仿宋"/>
          <w:sz w:val="32"/>
          <w:szCs w:val="32"/>
        </w:rPr>
        <w:t>。</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2．语文</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通过丰富的言语实践，逐步掌握祖国语言文字特点及其运用规律，形成个体的言语经验，在具体的生活、学习、工作等语言运用情境中，正确理解与运用祖国语言文字，进行有效的交流与沟通；通过语言运用，发展直觉思维、形象思维、逻辑思维、辩证思维和创造思维，运用多种思维方式丰富自己对作品的感受和理解，比较、分析、归纳和概括基本的语言现象，准确传递信息、论述观点、表明态度，提升思维的深刻性、敏捷性、灵活性、批判性和创造性等品质；通过阅读优秀作品，口味语言艺术，发现美，体验美，欣赏美，崇尚真善美，提高语言文化鉴别能力，形成正确的审美意识、健康向上的审美情趣与鉴赏品位，提升审美境界，在生活、工作情境中运用口语和书面语表现美，创造美；在学习中，继承和弘扬中华优秀传统文化、革命文化、社会主义先进文化，吸收人类文化知识积累和创新成果，并在学习和工作中拓宽产业文化视野，培育劳动精神，弘扬劳模精神、工匠精神，增强文化自觉和文化自信。取得</w:t>
      </w:r>
      <w:r>
        <w:rPr>
          <w:rFonts w:ascii="仿宋" w:hAnsi="仿宋" w:eastAsia="仿宋"/>
          <w:sz w:val="32"/>
          <w:szCs w:val="32"/>
        </w:rPr>
        <w:t>国家普通话水平测试等级证书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3．历史</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社会主义建设者和接班人。</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4．数学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提高学生学习数学的兴趣，增强学好数学 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5．英语</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在义务教育的基础上，进一步激发学生英语学习的兴趣，帮助学生掌握基础知识和基本技能，发展英语学科核心素养，为学生的职业生涯、继续学习和终身发展奠定基础。通过学习与实践，掌握语言特点及其运用规律，发展听、说、读、写等语言技能，正确理解职场中不同类型的语篇信息，就与职业相关的话题进行有效沟通与交流；通过观察、分析、比较等方式，认识口头交流与书面交流的表达特点，感知不同文化背景下思维方式的多样性，理解中西方思维方式的差异，从不同视角观察和认识世界，对事物做出合理评判；通过学习中外优秀文化、拓宽国际视野，形成对外国文化的正确认识、对中华优秀文化的深刻认知及对中外企业文化的客观了解，以开放包容的心态理解多元文化，坚定文化自信，促进文化传播；养成良好的学习习惯，促进语言学习与学习能力的可持续发展。</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6．信息技术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能取得全国计算等级考试（一级）证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7．体育与健康</w:t>
      </w:r>
    </w:p>
    <w:p>
      <w:pPr>
        <w:overflowPunct w:val="0"/>
        <w:adjustRightInd w:val="0"/>
        <w:spacing w:line="560" w:lineRule="exact"/>
        <w:outlineLvl w:val="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通过学习，学生能够喜爱并积极参与体育运动，享受体育 运动的乐趣；学会锻炼身体的科学方法，掌握1</w:t>
      </w:r>
      <w:r>
        <w:rPr>
          <w:rFonts w:ascii="仿宋" w:hAnsi="仿宋" w:eastAsia="仿宋"/>
          <w:sz w:val="32"/>
          <w:szCs w:val="32"/>
        </w:rPr>
        <w:t>-2</w:t>
      </w:r>
      <w:r>
        <w:rPr>
          <w:rFonts w:hint="eastAsia" w:ascii="仿宋" w:hAnsi="仿宋" w:eastAsia="仿宋"/>
          <w:sz w:val="32"/>
          <w:szCs w:val="32"/>
        </w:rPr>
        <w:t>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培育学生的运动能力、健康行为和体育精神核心素养。</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8．艺术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（1）音乐欣赏</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参与音乐鉴赏与实践活动，学习有关知识和技能，认识音乐的基本功能与作用，获得精神愉悦，提高审判情趣和音乐实践能力。了解音乐表现的丰富性和多样性，掌握音乐鉴赏的基本方法，聆听欣赏中外经典作品，理解中国音乐与中华优秀传统文化、革命文化和社会主义先进文化的密切关系，弘扬民族精神和时代精神，尊重世界音乐文化的多样性。了解当代中国最普遍的音乐实践活动方式，丰富音乐实践经验，提高音乐实践能力。结合鉴赏内容开展音乐实践，认识音乐与其他艺术、学科及专业的关联，积极探索音乐在社会生活、生产实践、专业学习和职业发展等方面的应用，激发创新意识，促进专业学习。</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（2）美术欣赏</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通过不同美术类型（绘画、书法、雕塑、工艺、建筑、摄影等）的表现形式与发展演变进程，使学生了解美术的基础知识、技能与原理，熟悉基本审美特征，理解作品的思想情感与人文内涵，感受社会美、自然美和艺术美的统一，提高审美能力。</w:t>
      </w:r>
      <w:r>
        <w:rPr>
          <w:rFonts w:hint="eastAsia" w:ascii="仿宋" w:hAnsi="仿宋" w:eastAsia="仿宋"/>
          <w:sz w:val="32"/>
          <w:szCs w:val="32"/>
        </w:rPr>
        <w:t>了解不同的美术门类，掌握美术鉴赏的基本方法，形成健康的审美情趣；欣赏中国书画、雕塑和建筑等经典作品，理解其与中华优秀传统文化、革命文化和社会主义先进文化的密切关系，弘扬民族精神和时代精神，树立正确的文化观；欣赏外国经典作品，理解世界美术文化的多样性；结合鉴赏内容开展美术实践，认识美术与其他艺术、学科和专业的关联，积极探索美术在社会生活、生产实践、专业学习和职业发展方面的广泛应用，激发创新意识，促进专业学习。</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（3）书法</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了解中国书画基础知识与技法，熟悉中国书画的大致分类。赏析中国书画经典作品，认识中国传统艺术风格，感情中国书画所蕴含的思想情感、审美意趣和民族精神，提高审美能力和文化品位。通过软、硬笔习字练习，掌握楷书、行书的基本运笔与技巧，养成良好的书写习惯，提高书写能力，提升自我修养。</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（4）礼乐修身</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通过学习社交礼仪常识、各种情境的礼仪训练，掌握必备 的礼仪知识和技能，领会礼仪的核心精神，提高艺术审美和鉴赏能力，弘扬中华优秀传统美德，做到知行合一。</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9．劳动教育</w:t>
      </w:r>
    </w:p>
    <w:p>
      <w:pPr>
        <w:overflowPunct w:val="0"/>
        <w:adjustRightInd w:val="0"/>
        <w:spacing w:line="560" w:lineRule="exact"/>
        <w:ind w:firstLine="640" w:firstLineChars="200"/>
        <w:outlineLvl w:val="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本课程重点讲述劳动精神、劳模精神、工匠精神、劳动组织、劳动安全和劳动法规等方面内容，提高劳动自立自强的意识和能力；增强学生职业荣誉感和责任感，提高职业劳动技能水平，培育学生积极向上的劳动精神和认真负责的劳动态度。。通过课程，让学生学会日常生活劳动，实现自我管理生活；通过校内外公益服务性劳动，做好校园环境秩序维护，运用专业技能为社会、为他人提供相关公益服务，培育社会公德，厚植爱国爱民的情怀；通过参与真实的生产劳动和服务性劳动，增强职业认同感和劳动自豪感，提升创意物化能力，培育不断探索、精益求精、追求卓越的工匠精神和爱岗敬业的劳动态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．军事训练</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通过军事训练学习基本军事知识，掌握基本军事技能，全面推进素质教育，增强学生的国防观念和国家安全意识，加强学生的组织性和纪律性，培养吃苦耐劳和艰苦朴素的作风，培育爱党爱国爱军情怀，培塑爱国主义、集体主义和革命英雄主义精神。</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．就业指导</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本课程是中等职业学校学生必修的一门德育课程，旨在对学生进行职业就业指导。其任务是：学生应了解职业、职业素质、职业道德、职业个性、职业选择、职业理想的基本知识与要求，树立正确的职业理想；学会依据社会发展、职业需求和个人特点进行职业生涯设计的方法；增强提高自身全面素质、自主择业、立业创业的自觉性。</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．职业能力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课程主要讲述思想政治基础理论、时事政治、科技常识、文学常识、艺术知识、安全常识等内容，提高学生思想道德素质、科学素质、人文素质等综合素质，培养学生理解、交流、科学思维、应用分析、艺术审美等方面的能力，挖掘学生处理事物的能力，提升职业适应性。</w:t>
      </w:r>
    </w:p>
    <w:p>
      <w:pPr>
        <w:overflowPunct w:val="0"/>
        <w:adjustRightInd w:val="0"/>
        <w:spacing w:line="560" w:lineRule="exact"/>
        <w:ind w:left="740" w:leftChars="200" w:hanging="320" w:hangingChars="100"/>
        <w:outlineLvl w:val="0"/>
        <w:rPr>
          <w:rFonts w:ascii="楷体" w:hAnsi="楷体" w:eastAsia="楷体" w:cs="楷体"/>
          <w:color w:val="auto"/>
          <w:sz w:val="32"/>
          <w:szCs w:val="32"/>
        </w:rPr>
      </w:pPr>
      <w:r>
        <w:rPr>
          <w:rFonts w:hint="eastAsia" w:ascii="楷体" w:hAnsi="楷体" w:eastAsia="楷体" w:cs="楷体"/>
          <w:color w:val="auto"/>
          <w:sz w:val="32"/>
          <w:szCs w:val="32"/>
        </w:rPr>
        <w:t>（二）专业基础课程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1.市场营销基础</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通过学习，学习者应该能说出市场营销的概念；分析案例的市场营销环境；判断消费者市场和消费者行为；会使用市场营销调研的基本方法；会细分市场及对市场进行正确定位；能够分析常用产品的特色、品牌、包装及其定价策略；会使用常用的促销策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学习过程中增加了案例教学的比重。案例包括文字和音像形式。根据中专生理解力水平，案例分析选用较为简单、贴近现实生活和工作实际的内容。教学中突出了典型案例的剖析，同时安排了必要的作业和实验，作业多以案例分析的形式为主</w:t>
      </w:r>
      <w:r>
        <w:rPr>
          <w:rFonts w:ascii="仿宋" w:hAnsi="仿宋" w:eastAsia="仿宋"/>
          <w:sz w:val="32"/>
          <w:szCs w:val="32"/>
        </w:rPr>
        <w:t>，</w:t>
      </w:r>
      <w:r>
        <w:rPr>
          <w:rFonts w:hint="eastAsia" w:ascii="仿宋" w:hAnsi="仿宋" w:eastAsia="仿宋"/>
          <w:sz w:val="32"/>
          <w:szCs w:val="32"/>
        </w:rPr>
        <w:t>给学生接触实际、动手分析的机会。</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2.电子商务基础</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通过学习，应该能说出电子商务的概念，陈述电子商务的交易过程、结构、电子支付方式及文件安全传送的原理；能区分不同类型的电子商务模式；学会上网连接方法、会使用IE、Outlook；会注册邮箱、会用FrontPage制作静态网页、会使用常用的杀毒软件；会搜索商务信息和发布信息，能应用电子商务平台进行网上商店的搭建和日常商务交易处理。</w:t>
      </w:r>
    </w:p>
    <w:p>
      <w:pPr>
        <w:numPr>
          <w:ilvl w:val="0"/>
          <w:numId w:val="0"/>
        </w:num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物流基础</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通过学习，学生了解物流的基本概念和基本内容，熟悉物流活动的构成，掌握各类物流业务的基本运作方法。物流活动的本质、构成、功能及作用，现代物流系统，供应链、第三方物流与电子商务的关系和相关知识，现代物流管理的基本知识和基本技能，现代物流技术的发展状况。</w:t>
      </w:r>
    </w:p>
    <w:p>
      <w:pPr>
        <w:numPr>
          <w:ilvl w:val="0"/>
          <w:numId w:val="0"/>
        </w:numPr>
        <w:adjustRightInd w:val="0"/>
        <w:snapToGrid w:val="0"/>
        <w:spacing w:line="560" w:lineRule="exact"/>
        <w:ind w:leftChars="200"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4.商品拍摄与图片处理</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学生通过学习，应该能了解网上拍摄商品所用摄影设备的作用及选择，能自主搭建摄影环境，掌握数码相机参数的设置和相机的使用，能合理运用光线和曝光组合，能完成日常商品的拍摄，并能通过 Photoshop软件对商品照片进行后期处理，最后使用 Photoshop软件设计出能让人产生购物欲的商品传页。</w:t>
      </w:r>
    </w:p>
    <w:p>
      <w:pPr>
        <w:numPr>
          <w:ilvl w:val="0"/>
          <w:numId w:val="3"/>
        </w:numPr>
        <w:overflowPunct w:val="0"/>
        <w:adjustRightInd w:val="0"/>
        <w:spacing w:line="560" w:lineRule="exact"/>
        <w:ind w:left="740" w:leftChars="200" w:hanging="320" w:hangingChars="100"/>
        <w:outlineLvl w:val="0"/>
        <w:rPr>
          <w:rFonts w:hint="eastAsia" w:ascii="楷体" w:hAnsi="楷体" w:eastAsia="楷体" w:cs="楷体"/>
          <w:sz w:val="32"/>
          <w:szCs w:val="32"/>
        </w:rPr>
      </w:pPr>
      <w:r>
        <w:rPr>
          <w:rFonts w:hint="eastAsia" w:ascii="楷体" w:hAnsi="楷体" w:eastAsia="楷体" w:cs="楷体"/>
          <w:sz w:val="32"/>
          <w:szCs w:val="32"/>
        </w:rPr>
        <w:t>专业核心课程</w:t>
      </w:r>
    </w:p>
    <w:p>
      <w:pPr>
        <w:numPr>
          <w:ilvl w:val="0"/>
          <w:numId w:val="0"/>
        </w:num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网络营销</w:t>
      </w:r>
    </w:p>
    <w:p>
      <w:pPr>
        <w:adjustRightInd w:val="0"/>
        <w:snapToGrid w:val="0"/>
        <w:spacing w:line="560" w:lineRule="exact"/>
        <w:ind w:firstLine="640" w:firstLineChars="200"/>
        <w:rPr>
          <w:rFonts w:hint="default" w:ascii="楷体" w:hAnsi="楷体" w:eastAsia="楷体" w:cs="楷体"/>
          <w:sz w:val="32"/>
          <w:szCs w:val="32"/>
          <w:lang w:val="en-US" w:eastAsia="zh-CN"/>
        </w:rPr>
      </w:pPr>
      <w:r>
        <w:rPr>
          <w:rFonts w:hint="eastAsia" w:ascii="仿宋" w:hAnsi="仿宋" w:eastAsia="仿宋"/>
          <w:sz w:val="32"/>
          <w:szCs w:val="32"/>
        </w:rPr>
        <w:t>通过学习，学习者应该能说出网络营销的概念；会使用Email、邮件列表、网站等形式与客户沟通及树立公司形象、会设计网上调查表、会注册域名及上传网站；会通过贸易平台发布商务信息；会定义合适的“关键词”，利用搜索引擎来进行网站推广；会进行网上市场和用户信息调研；知道常见网站的广告定价和发布方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.网店客服</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通过学习，能按照正确的键盘指法完成录入任务；能熟练使用一种中文拼音输入法；能设置输入法属性；掌握特殊符号的录入方法；能正确听取客户要求，同步完成记录；文字录入速度达到60字/分钟；了解客户心理知识；掌握与客户沟通的技巧与方法；能通过网络即时通信工具有效明确地向客户传达服务信息、态度；能通过准确解读客户信息；掌握客户想法、感受与态度；会对客户进行有利于问题解决的提问、倾听、表达。</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.商品知识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通过学习，可以理解品牌的概念，能够正确区分品牌和商标；掌握品牌命名的策略，列举品牌标志的分类；领悟商品采购的重要性，明确商品的分类，学会收集、统计及分析相关资料，能根据店铺及商品的定位制订商品采购计划。可以灵活使用各种技巧开展洽谈工作，根据网店运营的目标制定合适的商品采购绩效衡量标准。</w:t>
      </w:r>
    </w:p>
    <w:p>
      <w:pPr>
        <w:numPr>
          <w:ilvl w:val="0"/>
          <w:numId w:val="0"/>
        </w:numPr>
        <w:adjustRightInd w:val="0"/>
        <w:snapToGrid w:val="0"/>
        <w:spacing w:line="560" w:lineRule="exact"/>
        <w:ind w:leftChars="200" w:firstLine="320" w:firstLineChars="1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自媒体运营</w:t>
      </w:r>
    </w:p>
    <w:p>
      <w:pPr>
        <w:ind w:firstLine="640"/>
        <w:rPr>
          <w:rFonts w:hint="eastAsia" w:ascii="仿宋" w:hAnsi="仿宋" w:eastAsia="仿宋"/>
          <w:sz w:val="32"/>
          <w:szCs w:val="32"/>
        </w:rPr>
      </w:pPr>
      <w:r>
        <w:rPr>
          <w:rFonts w:hint="eastAsia" w:ascii="仿宋" w:hAnsi="仿宋" w:eastAsia="仿宋"/>
          <w:sz w:val="32"/>
          <w:szCs w:val="32"/>
        </w:rPr>
        <w:t>通过学习，了解自媒体的发展历程和发展趋势；掌握自媒体营销的含义和特点；熟悉自媒体营销的岗位职责和职业技能要求；认识自媒体营销模式创新和主要模式；自新媒体营销平台及优势；自媒体营销模式的价值和实时策略；自媒体营销对品牌塑造的作用和风险；了解微信营销、微博营销、直播营销、短视频营销、社群营销、搜索引擎营销、电商平台营销、信息流营销等内容。</w:t>
      </w:r>
    </w:p>
    <w:p>
      <w:pPr>
        <w:ind w:firstLine="64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.网店运营</w:t>
      </w:r>
    </w:p>
    <w:p>
      <w:pPr>
        <w:ind w:firstLine="640"/>
        <w:rPr>
          <w:rFonts w:hint="eastAsia" w:ascii="仿宋" w:hAnsi="仿宋" w:eastAsia="仿宋"/>
          <w:sz w:val="32"/>
          <w:szCs w:val="32"/>
        </w:rPr>
      </w:pPr>
      <w:r>
        <w:rPr>
          <w:rFonts w:hint="eastAsia" w:ascii="仿宋" w:hAnsi="仿宋" w:eastAsia="仿宋"/>
          <w:sz w:val="32"/>
          <w:szCs w:val="32"/>
        </w:rPr>
        <w:t>通过学习，能够说出网店开设前期准备工作以及网店开设流程；掌握网店基础操作工作，包括商品上传及信息维护、营销活动设置、日常订单管理等；能熟练使用网店运营工具-千牛，进行客服日常订单交易促成、客户问题处理等；学会利用淘宝客、直通车、钻石展位进行网店推广；了解常用的第三方数据分析工具，会使用平台数据分析工具对店铺运营状况进行数据分析。</w:t>
      </w:r>
    </w:p>
    <w:p>
      <w:pPr>
        <w:ind w:firstLine="64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6</w:t>
      </w:r>
      <w:r>
        <w:rPr>
          <w:rFonts w:hint="eastAsia" w:ascii="仿宋" w:hAnsi="仿宋" w:eastAsia="仿宋"/>
          <w:sz w:val="32"/>
          <w:szCs w:val="32"/>
        </w:rPr>
        <w:t>.网店美工</w:t>
      </w:r>
    </w:p>
    <w:p>
      <w:pPr>
        <w:ind w:firstLine="640"/>
        <w:rPr>
          <w:rFonts w:hint="eastAsia" w:ascii="仿宋" w:hAnsi="仿宋" w:eastAsia="仿宋"/>
          <w:sz w:val="32"/>
          <w:szCs w:val="32"/>
        </w:rPr>
      </w:pPr>
      <w:r>
        <w:rPr>
          <w:rFonts w:hint="eastAsia" w:ascii="仿宋" w:hAnsi="仿宋" w:eastAsia="仿宋"/>
          <w:sz w:val="32"/>
          <w:szCs w:val="32"/>
        </w:rPr>
        <w:t>通过学习，能了解网店装修的职责，能说出电商网店所需制作图片名称，会整体色彩搭配，熟悉掌握网店美工工作所运用的Photoshop，能运用ps制作网店店标、主图、促销广告、详情页等，能区分制作图片不同特点；学会制作不同格式图片；会利用淘宝后台对图片进行压缩，进行图片上传和发布。</w:t>
      </w:r>
    </w:p>
    <w:p>
      <w:pPr>
        <w:overflowPunct w:val="0"/>
        <w:adjustRightInd w:val="0"/>
        <w:spacing w:line="560" w:lineRule="exact"/>
        <w:ind w:left="740" w:leftChars="200" w:hanging="320" w:hangingChars="100"/>
        <w:outlineLvl w:val="0"/>
        <w:rPr>
          <w:rFonts w:ascii="楷体" w:hAnsi="楷体" w:eastAsia="楷体" w:cs="楷体"/>
          <w:sz w:val="32"/>
          <w:szCs w:val="32"/>
        </w:rPr>
      </w:pPr>
      <w:r>
        <w:rPr>
          <w:rFonts w:hint="eastAsia" w:ascii="楷体" w:hAnsi="楷体" w:eastAsia="楷体" w:cs="楷体"/>
          <w:sz w:val="32"/>
          <w:szCs w:val="32"/>
        </w:rPr>
        <w:t>（四）专业拓展课程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 短视频制作</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通过学习，掌握短视频的拍摄方法；掌握剪辑与包装短视频的方法；掌握发布短视频的方法；掌握拍摄抖音短视频的方法；掌握抖音短视频后期处理的方法；掌握制作短视频封面图的方法；使用Pr制作短视频片头；使用Pr修剪短视频、制作影视片尾短视频、滚动字幕、为短视频进行调色、为短视频编辑音频。</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2.直播电商基础</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理解直播脚本在直播中的重要性，熟练掌握直播脚本的写作方法和写作流程，能根据实际网店商品写出直播脚本，并会根据实际运作情况修改和调整脚本内容。掌握直播电商的筹备、运作、实施和改进的方法和技巧。能实际的策划、运营、实施一场直播，能够写出直播总结，掌握直播电商的特点、优势和流程。通过学习，让学生认识直播电商数据，掌握直播电商数据分析的指标和方法；学习使用数据分析工具，能够对数据进行处理和整理；学会对电商直播运营进行指标监控，完成日常数据报表和专项数据报表的制作，从而对后期电商直播起到指引作用。</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3.跨境电商基础</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通过本课程的学习，学生能理解国际贸易、电子商务以及跨境电子商务的基本概念、基本政策，认识跨境电商的特点和模式以及跨境电商平台的区别，掌握国际电子支付、电子通关、跨境电子商务物流知识、跨境电子商务的市场调研与选品。</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4.电子商务会计</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通过本课程的学习，学生们从电子商务的角度学习了了会计基础，资产，负债，所有者权益，收入、成本和费用，利润和利润分配，财务会计报告等专业内容。对电子商务与会计，基于电子商务会计的信息系统进行了基础的学习和探讨。</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val="en-US" w:eastAsia="zh-CN"/>
        </w:rPr>
        <w:t>财经</w:t>
      </w:r>
      <w:r>
        <w:rPr>
          <w:rFonts w:hint="eastAsia" w:ascii="仿宋" w:hAnsi="仿宋" w:eastAsia="仿宋"/>
          <w:sz w:val="32"/>
          <w:szCs w:val="32"/>
        </w:rPr>
        <w:t>法律法规</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通过学习，学生能够掌握电子商务法的基本原理、知识和技能，在电子商务活动中以特定的法律法规为主线，准确把握电子商务法与其他法律法规的适用关系。掌握电子商务法与整个电子商务运营过程的融合，能够解决电子商务七大核心问题。培养学生的电子商务法律法规的系统化思维以及实践应用能力。</w:t>
      </w:r>
    </w:p>
    <w:p>
      <w:pPr>
        <w:overflowPunct w:val="0"/>
        <w:adjustRightInd w:val="0"/>
        <w:spacing w:line="560" w:lineRule="exact"/>
        <w:ind w:left="740" w:leftChars="200" w:hanging="320" w:hangingChars="100"/>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（五）实习实训</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专业建设紧跟“互联网+”新商业发展趋势，学校是阿里巴巴淘宝大学产教融合合作院校、京东电商产教融合人才培养基地、全国直播电商产学研联盟单位。建有电子商务运营、网络营销、商品拍摄、直播运营中心、京东电商项目展示中心等实训室，在订单班、实训基地、教师企业实践、学生实训实习等方面进行共建共享。</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京东电商产教融合人才培养基地引入京东电商技能课程、京东1:1仿真前后台系统，通过全实体系统的搭建实现电子商务行业运作的全面呈现。学生在基地可以全方位的感受电商全流程运作模式并参与其中，通过完整的培养体系和实战机会，有效提升在校学生专业能力和职业素养，丰富学生项目实战经验，缩短在校生与用人单位之间需求的差距，初步打通在校生的职业通道。</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通过京东智能课堂平台完成“教学、实训、实战、实体”四位一体人才培养模式，帮助学生进行电子商务运营、新媒体营销、短视频运营、电商直播等实训，熟悉电子商务各项活动的流程，掌握电子商务的各种操作技能，加深对电子商务的感性认识，培养实践操作能力强、管理水平高的综合应用型商务人才。</w:t>
      </w:r>
    </w:p>
    <w:p>
      <w:pPr>
        <w:rPr>
          <w:rFonts w:hint="eastAsia"/>
        </w:rPr>
      </w:pP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八</w:t>
      </w:r>
      <w:r>
        <w:rPr>
          <w:rFonts w:eastAsia="黑体"/>
          <w:sz w:val="32"/>
          <w:szCs w:val="32"/>
        </w:rPr>
        <w:t>、教学进程总体安排</w:t>
      </w:r>
    </w:p>
    <w:tbl>
      <w:tblPr>
        <w:tblStyle w:val="8"/>
        <w:tblW w:w="9177" w:type="dxa"/>
        <w:tblInd w:w="113" w:type="dxa"/>
        <w:tblLayout w:type="autofit"/>
        <w:tblCellMar>
          <w:top w:w="0" w:type="dxa"/>
          <w:left w:w="108" w:type="dxa"/>
          <w:bottom w:w="0" w:type="dxa"/>
          <w:right w:w="108" w:type="dxa"/>
        </w:tblCellMar>
      </w:tblPr>
      <w:tblGrid>
        <w:gridCol w:w="818"/>
        <w:gridCol w:w="865"/>
        <w:gridCol w:w="2304"/>
        <w:gridCol w:w="436"/>
        <w:gridCol w:w="436"/>
        <w:gridCol w:w="436"/>
        <w:gridCol w:w="436"/>
        <w:gridCol w:w="436"/>
        <w:gridCol w:w="436"/>
        <w:gridCol w:w="928"/>
        <w:gridCol w:w="802"/>
        <w:gridCol w:w="844"/>
      </w:tblGrid>
      <w:tr>
        <w:tblPrEx>
          <w:tblCellMar>
            <w:top w:w="0" w:type="dxa"/>
            <w:left w:w="108" w:type="dxa"/>
            <w:bottom w:w="0" w:type="dxa"/>
            <w:right w:w="108" w:type="dxa"/>
          </w:tblCellMar>
        </w:tblPrEx>
        <w:trPr>
          <w:trHeight w:val="454" w:hRule="atLeast"/>
        </w:trPr>
        <w:tc>
          <w:tcPr>
            <w:tcW w:w="9177" w:type="dxa"/>
            <w:gridSpan w:val="12"/>
            <w:tcBorders>
              <w:top w:val="single" w:color="auto" w:sz="4" w:space="0"/>
              <w:left w:val="single" w:color="auto" w:sz="4" w:space="0"/>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4"/>
              </w:rPr>
            </w:pPr>
            <w:r>
              <w:br w:type="page"/>
            </w:r>
            <w:r>
              <w:rPr>
                <w:rFonts w:hint="eastAsia" w:ascii="宋体" w:hAnsi="宋体" w:cs="宋体"/>
                <w:kern w:val="0"/>
                <w:sz w:val="24"/>
              </w:rPr>
              <w:t xml:space="preserve">                            网络营销专业                        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kern w:val="0"/>
                <w:sz w:val="24"/>
                <w:lang w:val="en-US" w:eastAsia="zh-CN"/>
              </w:rPr>
              <w:t>8</w:t>
            </w:r>
            <w:r>
              <w:rPr>
                <w:rFonts w:hint="eastAsia" w:ascii="宋体" w:hAnsi="宋体" w:cs="宋体"/>
                <w:kern w:val="0"/>
                <w:sz w:val="24"/>
              </w:rPr>
              <w:t>月</w:t>
            </w:r>
          </w:p>
        </w:tc>
      </w:tr>
      <w:tr>
        <w:tblPrEx>
          <w:tblCellMar>
            <w:top w:w="0" w:type="dxa"/>
            <w:left w:w="108" w:type="dxa"/>
            <w:bottom w:w="0" w:type="dxa"/>
            <w:right w:w="108" w:type="dxa"/>
          </w:tblCellMar>
        </w:tblPrEx>
        <w:trPr>
          <w:trHeight w:val="385" w:hRule="atLeast"/>
        </w:trPr>
        <w:tc>
          <w:tcPr>
            <w:tcW w:w="81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65"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序号</w:t>
            </w:r>
          </w:p>
        </w:tc>
        <w:tc>
          <w:tcPr>
            <w:tcW w:w="2304"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课程名称</w:t>
            </w:r>
          </w:p>
        </w:tc>
        <w:tc>
          <w:tcPr>
            <w:tcW w:w="2616" w:type="dxa"/>
            <w:gridSpan w:val="6"/>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各学期周学时分配</w:t>
            </w:r>
          </w:p>
        </w:tc>
        <w:tc>
          <w:tcPr>
            <w:tcW w:w="92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总学时</w:t>
            </w:r>
          </w:p>
        </w:tc>
        <w:tc>
          <w:tcPr>
            <w:tcW w:w="1646"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课程类型</w:t>
            </w:r>
          </w:p>
        </w:tc>
      </w:tr>
      <w:tr>
        <w:tblPrEx>
          <w:tblCellMar>
            <w:top w:w="0" w:type="dxa"/>
            <w:left w:w="108" w:type="dxa"/>
            <w:bottom w:w="0" w:type="dxa"/>
            <w:right w:w="108" w:type="dxa"/>
          </w:tblCellMar>
        </w:tblPrEx>
        <w:trPr>
          <w:trHeight w:val="106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第一学年</w:t>
            </w: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第二学年</w:t>
            </w:r>
          </w:p>
        </w:tc>
        <w:tc>
          <w:tcPr>
            <w:tcW w:w="872"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第三学年</w:t>
            </w:r>
          </w:p>
        </w:tc>
        <w:tc>
          <w:tcPr>
            <w:tcW w:w="92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02" w:type="dxa"/>
            <w:vMerge w:val="restart"/>
            <w:tcBorders>
              <w:top w:val="nil"/>
              <w:left w:val="single" w:color="auto" w:sz="4" w:space="0"/>
              <w:bottom w:val="nil"/>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理论</w:t>
            </w:r>
          </w:p>
        </w:tc>
        <w:tc>
          <w:tcPr>
            <w:tcW w:w="844" w:type="dxa"/>
            <w:vMerge w:val="restart"/>
            <w:tcBorders>
              <w:top w:val="nil"/>
              <w:left w:val="single" w:color="auto" w:sz="4" w:space="0"/>
              <w:bottom w:val="nil"/>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实践</w:t>
            </w:r>
          </w:p>
        </w:tc>
      </w:tr>
      <w:tr>
        <w:tblPrEx>
          <w:tblCellMar>
            <w:top w:w="0" w:type="dxa"/>
            <w:left w:w="108" w:type="dxa"/>
            <w:bottom w:w="0" w:type="dxa"/>
            <w:right w:w="108" w:type="dxa"/>
          </w:tblCellMar>
        </w:tblPrEx>
        <w:trPr>
          <w:trHeight w:val="45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一</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二</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三</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四</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五</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六</w:t>
            </w:r>
          </w:p>
        </w:tc>
        <w:tc>
          <w:tcPr>
            <w:tcW w:w="928"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宋体" w:hAnsi="宋体" w:cs="宋体"/>
                <w:kern w:val="0"/>
                <w:sz w:val="22"/>
                <w:szCs w:val="22"/>
              </w:rPr>
            </w:pPr>
          </w:p>
        </w:tc>
        <w:tc>
          <w:tcPr>
            <w:tcW w:w="802" w:type="dxa"/>
            <w:vMerge w:val="continue"/>
            <w:tcBorders>
              <w:top w:val="nil"/>
              <w:left w:val="single" w:color="auto" w:sz="4" w:space="0"/>
              <w:bottom w:val="nil"/>
              <w:right w:val="single" w:color="auto" w:sz="4" w:space="0"/>
            </w:tcBorders>
            <w:vAlign w:val="center"/>
          </w:tcPr>
          <w:p>
            <w:pPr>
              <w:widowControl/>
              <w:spacing w:line="560" w:lineRule="exact"/>
              <w:jc w:val="left"/>
              <w:rPr>
                <w:rFonts w:ascii="宋体" w:hAnsi="宋体" w:cs="宋体"/>
                <w:kern w:val="0"/>
                <w:sz w:val="22"/>
                <w:szCs w:val="22"/>
              </w:rPr>
            </w:pPr>
          </w:p>
        </w:tc>
        <w:tc>
          <w:tcPr>
            <w:tcW w:w="844" w:type="dxa"/>
            <w:vMerge w:val="continue"/>
            <w:tcBorders>
              <w:top w:val="nil"/>
              <w:left w:val="single" w:color="auto" w:sz="4" w:space="0"/>
              <w:bottom w:val="nil"/>
              <w:right w:val="single" w:color="auto" w:sz="4" w:space="0"/>
            </w:tcBorders>
            <w:vAlign w:val="center"/>
          </w:tcPr>
          <w:p>
            <w:pPr>
              <w:widowControl/>
              <w:spacing w:line="56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1</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语文</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432</w:t>
            </w:r>
          </w:p>
        </w:tc>
        <w:tc>
          <w:tcPr>
            <w:tcW w:w="802"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kern w:val="0"/>
                <w:sz w:val="22"/>
                <w:szCs w:val="22"/>
                <w:lang w:val="en-US"/>
              </w:rPr>
            </w:pPr>
            <w:r>
              <w:rPr>
                <w:rFonts w:hint="eastAsia" w:ascii="宋体" w:hAnsi="宋体" w:cs="宋体"/>
                <w:kern w:val="0"/>
                <w:sz w:val="22"/>
                <w:szCs w:val="22"/>
                <w:lang w:val="en-US" w:eastAsia="zh-CN"/>
              </w:rPr>
              <w:t>432</w:t>
            </w:r>
          </w:p>
        </w:tc>
        <w:tc>
          <w:tcPr>
            <w:tcW w:w="844"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jc w:val="left"/>
              <w:rPr>
                <w:rFonts w:ascii="宋体" w:hAnsi="宋体" w:cs="宋体"/>
                <w:kern w:val="0"/>
                <w:sz w:val="22"/>
                <w:szCs w:val="22"/>
              </w:rPr>
            </w:pPr>
            <w:r>
              <w:rPr>
                <w:rFonts w:hint="eastAsia" w:ascii="宋体" w:hAnsi="宋体" w:cs="宋体"/>
                <w:kern w:val="0"/>
                <w:sz w:val="22"/>
                <w:szCs w:val="22"/>
              </w:rPr>
              <w:t>　</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2</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数学</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432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hint="eastAsia" w:ascii="宋体" w:hAnsi="宋体" w:cs="宋体"/>
                <w:kern w:val="0"/>
                <w:sz w:val="22"/>
                <w:szCs w:val="22"/>
                <w:lang w:val="en-US" w:eastAsia="zh-CN"/>
              </w:rPr>
              <w:t>432</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英语</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kern w:val="0"/>
                <w:sz w:val="22"/>
                <w:szCs w:val="22"/>
                <w:lang w:val="en-US"/>
              </w:rPr>
            </w:pPr>
            <w:r>
              <w:rPr>
                <w:rFonts w:hint="eastAsia" w:ascii="宋体" w:hAnsi="宋体" w:cs="宋体"/>
                <w:kern w:val="0"/>
                <w:sz w:val="22"/>
                <w:szCs w:val="22"/>
                <w:lang w:val="en-US" w:eastAsia="zh-CN"/>
              </w:rPr>
              <w:t>360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lang w:val="en-US"/>
              </w:rPr>
            </w:pPr>
            <w:r>
              <w:rPr>
                <w:rFonts w:hint="eastAsia" w:ascii="宋体" w:hAnsi="宋体" w:cs="宋体"/>
                <w:kern w:val="0"/>
                <w:sz w:val="22"/>
                <w:szCs w:val="22"/>
                <w:lang w:val="en-US" w:eastAsia="zh-CN"/>
              </w:rPr>
              <w:t>360</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公共基础课</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中国特色社会主义</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心理健康与职业生涯</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哲学与人生</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职业道德与法治</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 xml:space="preserve">  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政治</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　</w:t>
            </w:r>
            <w:r>
              <w:rPr>
                <w:rFonts w:hint="eastAsia" w:ascii="宋体" w:hAnsi="宋体" w:cs="宋体"/>
                <w:kern w:val="0"/>
                <w:sz w:val="22"/>
                <w:szCs w:val="22"/>
                <w:lang w:val="en-US" w:eastAsia="zh-CN"/>
              </w:rPr>
              <w:t>9</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信息技术</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10</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体育与健康</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180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180</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11</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音乐欣赏</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8</w:t>
            </w: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ascii="宋体" w:hAnsi="宋体" w:cs="宋体"/>
                <w:kern w:val="0"/>
                <w:sz w:val="22"/>
                <w:szCs w:val="22"/>
              </w:rPr>
              <w:t xml:space="preserve">  </w:t>
            </w:r>
            <w:r>
              <w:rPr>
                <w:rFonts w:hint="eastAsia" w:ascii="宋体" w:hAnsi="宋体" w:cs="宋体"/>
                <w:kern w:val="0"/>
                <w:sz w:val="22"/>
                <w:szCs w:val="22"/>
                <w:lang w:val="en-US" w:eastAsia="zh-CN"/>
              </w:rPr>
              <w:t>12</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礼乐修身</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美术欣赏</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1</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ascii="宋体" w:hAnsi="宋体" w:cs="宋体"/>
                <w:kern w:val="0"/>
                <w:sz w:val="22"/>
                <w:szCs w:val="22"/>
              </w:rPr>
              <w:t xml:space="preserve">  </w:t>
            </w:r>
            <w:r>
              <w:rPr>
                <w:rFonts w:hint="eastAsia" w:ascii="宋体" w:hAnsi="宋体" w:cs="宋体"/>
                <w:kern w:val="0"/>
                <w:sz w:val="22"/>
                <w:szCs w:val="22"/>
                <w:lang w:val="en-US" w:eastAsia="zh-CN"/>
              </w:rPr>
              <w:t>14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硬笔</w:t>
            </w:r>
            <w:r>
              <w:rPr>
                <w:rFonts w:hint="eastAsia" w:ascii="宋体" w:hAnsi="宋体" w:cs="宋体"/>
                <w:kern w:val="0"/>
                <w:sz w:val="22"/>
                <w:szCs w:val="22"/>
              </w:rPr>
              <w:t>书法</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r>
              <w:rPr>
                <w:rFonts w:ascii="宋体" w:hAnsi="宋体" w:cs="宋体"/>
                <w:kern w:val="0"/>
                <w:sz w:val="22"/>
                <w:szCs w:val="22"/>
              </w:rPr>
              <w:t>15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历史</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4"/>
                <w:szCs w:val="24"/>
                <w:lang w:val="en-US" w:eastAsia="zh-CN" w:bidi="ar-SA"/>
              </w:rPr>
            </w:pPr>
            <w:r>
              <w:rPr>
                <w:rFonts w:hint="eastAsia" w:ascii="宋体" w:hAnsi="宋体" w:cs="宋体"/>
                <w:kern w:val="0"/>
                <w:sz w:val="24"/>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就业指导</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4"/>
                <w:szCs w:val="24"/>
                <w:lang w:val="en-US" w:eastAsia="zh-CN" w:bidi="ar-SA"/>
              </w:rPr>
            </w:pP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班会</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p>
        </w:tc>
        <w:tc>
          <w:tcPr>
            <w:tcW w:w="86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 xml:space="preserve">  18</w:t>
            </w:r>
          </w:p>
        </w:tc>
        <w:tc>
          <w:tcPr>
            <w:tcW w:w="2304"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军事训练</w:t>
            </w: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928"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5</w:t>
            </w:r>
            <w:r>
              <w:rPr>
                <w:rFonts w:ascii="宋体" w:hAnsi="宋体" w:cs="宋体"/>
                <w:kern w:val="0"/>
                <w:sz w:val="22"/>
                <w:szCs w:val="22"/>
              </w:rPr>
              <w:t>6</w:t>
            </w:r>
          </w:p>
        </w:tc>
        <w:tc>
          <w:tcPr>
            <w:tcW w:w="802"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844"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56</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公共基础课小结</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22</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19</w:t>
            </w:r>
          </w:p>
        </w:tc>
        <w:tc>
          <w:tcPr>
            <w:tcW w:w="928"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2054</w:t>
            </w:r>
          </w:p>
        </w:tc>
        <w:tc>
          <w:tcPr>
            <w:tcW w:w="802"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1548</w:t>
            </w:r>
          </w:p>
        </w:tc>
        <w:tc>
          <w:tcPr>
            <w:tcW w:w="844"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506</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spacing w:line="560" w:lineRule="exact"/>
              <w:jc w:val="center"/>
              <w:rPr>
                <w:rFonts w:ascii="宋体" w:hAnsi="宋体" w:cs="宋体"/>
                <w:kern w:val="0"/>
                <w:sz w:val="22"/>
                <w:szCs w:val="22"/>
              </w:rPr>
            </w:pPr>
            <w:r>
              <w:rPr>
                <w:rFonts w:hint="eastAsia" w:ascii="宋体" w:hAnsi="宋体" w:cs="宋体"/>
                <w:kern w:val="0"/>
                <w:sz w:val="22"/>
                <w:szCs w:val="22"/>
              </w:rPr>
              <w:t>专业课</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电子商务基础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市场营销基础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商品拍摄与图片处理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物流基础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网店运营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网店客服</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网店美工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移动电商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9</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商品知识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textDirection w:val="tbRlV"/>
            <w:vAlign w:val="center"/>
          </w:tcPr>
          <w:p>
            <w:pPr>
              <w:widowControl/>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10</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短视频</w:t>
            </w:r>
            <w:r>
              <w:rPr>
                <w:rFonts w:hint="eastAsia" w:ascii="宋体" w:hAnsi="宋体" w:cs="宋体"/>
                <w:kern w:val="0"/>
                <w:sz w:val="22"/>
                <w:szCs w:val="22"/>
                <w:lang w:val="en-US" w:eastAsia="zh-CN"/>
              </w:rPr>
              <w:t>运营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11</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跨境电子商务基础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12</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网络营销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hint="eastAsia"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自媒体运营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14</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直播电商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会计基础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财经法规</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eastAsiaTheme="minorEastAsia"/>
                <w:lang w:val="en-US" w:eastAsia="zh-CN"/>
              </w:rPr>
            </w:pPr>
            <w:r>
              <w:rPr>
                <w:rFonts w:hint="eastAsia"/>
                <w:lang w:val="en-US" w:eastAsia="zh-CN"/>
              </w:rPr>
              <w:t>54</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17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职业能力</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岗位</w:t>
            </w:r>
            <w:r>
              <w:rPr>
                <w:rFonts w:hint="eastAsia" w:ascii="宋体" w:hAnsi="宋体" w:cs="宋体"/>
                <w:kern w:val="0"/>
                <w:sz w:val="22"/>
                <w:szCs w:val="22"/>
              </w:rPr>
              <w:t>实习</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400</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专业课小结</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lang w:val="en-US" w:eastAsia="zh-CN"/>
              </w:rPr>
              <w:t>2</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w:t>
            </w:r>
          </w:p>
        </w:tc>
        <w:tc>
          <w:tcPr>
            <w:tcW w:w="928"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1768</w:t>
            </w:r>
          </w:p>
        </w:tc>
        <w:tc>
          <w:tcPr>
            <w:tcW w:w="802"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396</w:t>
            </w:r>
          </w:p>
        </w:tc>
        <w:tc>
          <w:tcPr>
            <w:tcW w:w="844"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fldChar w:fldCharType="begin"/>
            </w:r>
            <w:r>
              <w:rPr>
                <w:rFonts w:ascii="宋体" w:hAnsi="宋体" w:cs="宋体"/>
                <w:kern w:val="0"/>
                <w:sz w:val="22"/>
                <w:szCs w:val="22"/>
              </w:rPr>
              <w:instrText xml:space="preserve"> = sum(L23:L40) \* MERGEFORMAT </w:instrText>
            </w:r>
            <w:r>
              <w:rPr>
                <w:rFonts w:ascii="宋体" w:hAnsi="宋体" w:cs="宋体"/>
                <w:kern w:val="0"/>
                <w:sz w:val="22"/>
                <w:szCs w:val="22"/>
              </w:rPr>
              <w:fldChar w:fldCharType="separate"/>
            </w:r>
            <w:r>
              <w:rPr>
                <w:rFonts w:ascii="宋体" w:hAnsi="宋体" w:cs="宋体"/>
                <w:kern w:val="0"/>
                <w:sz w:val="22"/>
                <w:szCs w:val="22"/>
              </w:rPr>
              <w:t>13</w:t>
            </w:r>
            <w:r>
              <w:rPr>
                <w:rFonts w:hint="eastAsia" w:ascii="宋体" w:hAnsi="宋体" w:cs="宋体"/>
                <w:kern w:val="0"/>
                <w:sz w:val="22"/>
                <w:szCs w:val="22"/>
                <w:lang w:val="en-US" w:eastAsia="zh-CN"/>
              </w:rPr>
              <w:t>7</w:t>
            </w:r>
            <w:r>
              <w:rPr>
                <w:rFonts w:ascii="宋体" w:hAnsi="宋体" w:cs="宋体"/>
                <w:kern w:val="0"/>
                <w:sz w:val="22"/>
                <w:szCs w:val="22"/>
              </w:rPr>
              <w:fldChar w:fldCharType="end"/>
            </w:r>
            <w:r>
              <w:rPr>
                <w:rFonts w:hint="eastAsia" w:ascii="宋体" w:hAnsi="宋体" w:cs="宋体"/>
                <w:kern w:val="0"/>
                <w:sz w:val="22"/>
                <w:szCs w:val="22"/>
                <w:lang w:val="en-US" w:eastAsia="zh-CN"/>
              </w:rPr>
              <w:t>2</w:t>
            </w:r>
            <w:r>
              <w:rPr>
                <w:rFonts w:hint="eastAsia" w:ascii="宋体" w:hAnsi="宋体" w:cs="宋体"/>
                <w:kern w:val="0"/>
                <w:sz w:val="22"/>
                <w:szCs w:val="22"/>
              </w:rPr>
              <w:t>　</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A5A5A5"/>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合计</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eastAsia" w:ascii="宋体" w:hAnsi="宋体" w:cs="宋体" w:eastAsiaTheme="minorEastAsia"/>
                <w:kern w:val="0"/>
                <w:sz w:val="22"/>
                <w:szCs w:val="22"/>
                <w:lang w:eastAsia="zh-CN"/>
              </w:rPr>
            </w:pPr>
            <w:r>
              <w:rPr>
                <w:rFonts w:ascii="宋体" w:hAnsi="宋体" w:cs="宋体"/>
                <w:kern w:val="0"/>
                <w:sz w:val="22"/>
                <w:szCs w:val="22"/>
              </w:rPr>
              <w:t>3</w:t>
            </w: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eastAsia" w:ascii="宋体" w:hAnsi="宋体" w:cs="宋体" w:eastAsiaTheme="minorEastAsia"/>
                <w:kern w:val="0"/>
                <w:sz w:val="22"/>
                <w:szCs w:val="22"/>
                <w:lang w:eastAsia="zh-CN"/>
              </w:rPr>
            </w:pPr>
            <w:r>
              <w:rPr>
                <w:rFonts w:ascii="宋体" w:hAnsi="宋体" w:cs="宋体"/>
                <w:kern w:val="0"/>
                <w:sz w:val="22"/>
                <w:szCs w:val="22"/>
              </w:rPr>
              <w:t>3</w:t>
            </w: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33</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33</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59</w:t>
            </w:r>
          </w:p>
        </w:tc>
        <w:tc>
          <w:tcPr>
            <w:tcW w:w="928"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3822</w:t>
            </w:r>
          </w:p>
        </w:tc>
        <w:tc>
          <w:tcPr>
            <w:tcW w:w="802"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1944</w:t>
            </w:r>
          </w:p>
        </w:tc>
        <w:tc>
          <w:tcPr>
            <w:tcW w:w="844"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1878</w:t>
            </w:r>
          </w:p>
        </w:tc>
      </w:tr>
    </w:tbl>
    <w:p>
      <w:pPr>
        <w:overflowPunct w:val="0"/>
        <w:adjustRightInd w:val="0"/>
        <w:spacing w:line="560" w:lineRule="exact"/>
        <w:ind w:firstLine="640" w:firstLineChars="200"/>
        <w:outlineLvl w:val="0"/>
        <w:rPr>
          <w:rFonts w:hint="default" w:ascii="黑体" w:hAnsi="黑体" w:eastAsia="黑体"/>
          <w:sz w:val="32"/>
          <w:szCs w:val="32"/>
          <w:lang w:val="en-US" w:eastAsia="zh-CN"/>
        </w:rPr>
      </w:pPr>
      <w:r>
        <w:rPr>
          <w:rFonts w:hint="eastAsia" w:ascii="黑体" w:hAnsi="黑体" w:eastAsia="黑体"/>
          <w:sz w:val="32"/>
          <w:szCs w:val="32"/>
        </w:rPr>
        <w:t>九、</w:t>
      </w:r>
      <w:r>
        <w:rPr>
          <w:rFonts w:hint="eastAsia" w:ascii="黑体" w:hAnsi="黑体" w:eastAsia="黑体"/>
          <w:sz w:val="32"/>
          <w:szCs w:val="32"/>
          <w:lang w:val="en-US" w:eastAsia="zh-CN"/>
        </w:rPr>
        <w:t>实施保障</w:t>
      </w:r>
    </w:p>
    <w:p>
      <w:pPr>
        <w:overflowPunct w:val="0"/>
        <w:adjustRightInd w:val="0"/>
        <w:spacing w:line="560" w:lineRule="exact"/>
        <w:ind w:left="740" w:leftChars="200" w:hanging="320" w:hangingChars="100"/>
        <w:outlineLvl w:val="0"/>
        <w:rPr>
          <w:rFonts w:hint="eastAsia" w:ascii="楷体" w:hAnsi="楷体" w:eastAsia="楷体" w:cs="楷体"/>
          <w:sz w:val="32"/>
          <w:szCs w:val="32"/>
          <w:lang w:val="en-US" w:eastAsia="zh-CN"/>
        </w:rPr>
      </w:pPr>
      <w:r>
        <w:rPr>
          <w:rFonts w:hint="eastAsia" w:ascii="楷体" w:hAnsi="楷体" w:eastAsia="楷体" w:cs="楷体"/>
          <w:sz w:val="32"/>
          <w:szCs w:val="32"/>
        </w:rPr>
        <w:t>（一）</w:t>
      </w:r>
      <w:r>
        <w:rPr>
          <w:rFonts w:hint="eastAsia" w:ascii="楷体" w:hAnsi="楷体" w:eastAsia="楷体" w:cs="楷体"/>
          <w:sz w:val="32"/>
          <w:szCs w:val="32"/>
          <w:lang w:val="en-US" w:eastAsia="zh-CN"/>
        </w:rPr>
        <w:t>师资队伍</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网络营销专业</w:t>
      </w:r>
      <w:r>
        <w:rPr>
          <w:rFonts w:hint="eastAsia" w:ascii="仿宋" w:hAnsi="仿宋" w:eastAsia="仿宋"/>
          <w:sz w:val="32"/>
          <w:szCs w:val="32"/>
        </w:rPr>
        <w:t>现有专任教师</w:t>
      </w:r>
      <w:r>
        <w:rPr>
          <w:rFonts w:hint="eastAsia" w:ascii="仿宋" w:hAnsi="仿宋" w:eastAsia="仿宋"/>
          <w:sz w:val="32"/>
          <w:szCs w:val="32"/>
          <w:lang w:val="en-US" w:eastAsia="zh-CN"/>
        </w:rPr>
        <w:t>7</w:t>
      </w:r>
      <w:r>
        <w:rPr>
          <w:rFonts w:hint="eastAsia" w:ascii="仿宋" w:hAnsi="仿宋" w:eastAsia="仿宋"/>
          <w:sz w:val="32"/>
          <w:szCs w:val="32"/>
        </w:rPr>
        <w:t>名，其中</w:t>
      </w:r>
      <w:r>
        <w:rPr>
          <w:rFonts w:hint="eastAsia" w:ascii="仿宋" w:hAnsi="仿宋" w:eastAsia="仿宋"/>
          <w:sz w:val="32"/>
          <w:szCs w:val="32"/>
          <w:lang w:val="en-US" w:eastAsia="zh-CN"/>
        </w:rPr>
        <w:t>河北省高级双师型教师2人，河北省中级双师型教师1人，</w:t>
      </w:r>
      <w:r>
        <w:rPr>
          <w:rFonts w:hint="eastAsia" w:ascii="仿宋" w:hAnsi="仿宋" w:eastAsia="仿宋"/>
          <w:sz w:val="32"/>
          <w:szCs w:val="32"/>
        </w:rPr>
        <w:t>石家庄市学科名师</w:t>
      </w:r>
      <w:r>
        <w:rPr>
          <w:rFonts w:hint="eastAsia" w:ascii="仿宋" w:hAnsi="仿宋" w:eastAsia="仿宋"/>
          <w:sz w:val="32"/>
          <w:szCs w:val="32"/>
          <w:lang w:val="en-US" w:eastAsia="zh-CN"/>
        </w:rPr>
        <w:t>1</w:t>
      </w:r>
      <w:r>
        <w:rPr>
          <w:rFonts w:hint="eastAsia" w:ascii="仿宋" w:hAnsi="仿宋" w:eastAsia="仿宋"/>
          <w:sz w:val="32"/>
          <w:szCs w:val="32"/>
        </w:rPr>
        <w:t>人、石家庄市骨干教师</w:t>
      </w:r>
      <w:r>
        <w:rPr>
          <w:rFonts w:hint="eastAsia" w:ascii="仿宋" w:hAnsi="仿宋" w:eastAsia="仿宋"/>
          <w:sz w:val="32"/>
          <w:szCs w:val="32"/>
          <w:lang w:val="en-US" w:eastAsia="zh-CN"/>
        </w:rPr>
        <w:t>2</w:t>
      </w:r>
      <w:r>
        <w:rPr>
          <w:rFonts w:hint="eastAsia" w:ascii="仿宋" w:hAnsi="仿宋" w:eastAsia="仿宋"/>
          <w:sz w:val="32"/>
          <w:szCs w:val="32"/>
        </w:rPr>
        <w:t>人、石家庄市优秀教师</w:t>
      </w:r>
      <w:r>
        <w:rPr>
          <w:rFonts w:hint="eastAsia" w:ascii="仿宋" w:hAnsi="仿宋" w:eastAsia="仿宋"/>
          <w:sz w:val="32"/>
          <w:szCs w:val="32"/>
          <w:lang w:val="en-US" w:eastAsia="zh-CN"/>
        </w:rPr>
        <w:t>1</w:t>
      </w:r>
      <w:r>
        <w:rPr>
          <w:rFonts w:hint="eastAsia" w:ascii="仿宋" w:hAnsi="仿宋" w:eastAsia="仿宋"/>
          <w:sz w:val="32"/>
          <w:szCs w:val="32"/>
        </w:rPr>
        <w:t>人。教师全部为本科以上学历，其中硕士占比</w:t>
      </w:r>
      <w:r>
        <w:rPr>
          <w:rFonts w:hint="eastAsia" w:ascii="仿宋" w:hAnsi="仿宋" w:eastAsia="仿宋"/>
          <w:sz w:val="32"/>
          <w:szCs w:val="32"/>
          <w:lang w:val="en-US" w:eastAsia="zh-CN"/>
        </w:rPr>
        <w:t>29</w:t>
      </w:r>
      <w:r>
        <w:rPr>
          <w:rFonts w:hint="eastAsia" w:ascii="仿宋" w:hAnsi="仿宋" w:eastAsia="仿宋"/>
          <w:sz w:val="32"/>
          <w:szCs w:val="32"/>
        </w:rPr>
        <w:t>%，专业课教师拥有营销师、电子商务</w:t>
      </w:r>
      <w:r>
        <w:rPr>
          <w:rFonts w:hint="eastAsia" w:ascii="仿宋" w:hAnsi="仿宋" w:eastAsia="仿宋"/>
          <w:sz w:val="32"/>
          <w:szCs w:val="32"/>
          <w:lang w:val="en-US" w:eastAsia="zh-CN"/>
        </w:rPr>
        <w:t>营销</w:t>
      </w:r>
      <w:r>
        <w:rPr>
          <w:rFonts w:hint="eastAsia" w:ascii="仿宋" w:hAnsi="仿宋" w:eastAsia="仿宋"/>
          <w:sz w:val="32"/>
          <w:szCs w:val="32"/>
        </w:rPr>
        <w:t>师、CEAC</w:t>
      </w:r>
      <w:r>
        <w:rPr>
          <w:rFonts w:hint="eastAsia" w:ascii="仿宋" w:hAnsi="仿宋" w:eastAsia="仿宋"/>
          <w:sz w:val="32"/>
          <w:szCs w:val="32"/>
          <w:lang w:val="en-US" w:eastAsia="zh-CN"/>
        </w:rPr>
        <w:t>高级</w:t>
      </w:r>
      <w:r>
        <w:rPr>
          <w:rFonts w:hint="eastAsia" w:ascii="仿宋" w:hAnsi="仿宋" w:eastAsia="仿宋"/>
          <w:sz w:val="32"/>
          <w:szCs w:val="32"/>
        </w:rPr>
        <w:t>认证教师</w:t>
      </w:r>
      <w:r>
        <w:rPr>
          <w:rFonts w:hint="eastAsia" w:ascii="仿宋" w:hAnsi="仿宋" w:eastAsia="仿宋"/>
          <w:sz w:val="32"/>
          <w:szCs w:val="32"/>
          <w:lang w:eastAsia="zh-CN"/>
        </w:rPr>
        <w:t>、</w:t>
      </w:r>
      <w:r>
        <w:rPr>
          <w:rFonts w:hint="eastAsia" w:ascii="仿宋" w:hAnsi="仿宋" w:eastAsia="仿宋"/>
          <w:sz w:val="32"/>
          <w:szCs w:val="32"/>
          <w:lang w:val="en-US" w:eastAsia="zh-CN"/>
        </w:rPr>
        <w:t>ICDL认证数字营销师、职业指导师、心理咨询师</w:t>
      </w:r>
      <w:r>
        <w:rPr>
          <w:rFonts w:hint="eastAsia" w:ascii="仿宋" w:hAnsi="仿宋" w:eastAsia="仿宋"/>
          <w:sz w:val="32"/>
          <w:szCs w:val="32"/>
        </w:rPr>
        <w:t>等职业资格证书及数字营销技术应用职业技能等级</w:t>
      </w:r>
      <w:r>
        <w:rPr>
          <w:rFonts w:hint="eastAsia" w:ascii="仿宋" w:hAnsi="仿宋" w:eastAsia="仿宋"/>
          <w:sz w:val="32"/>
          <w:szCs w:val="32"/>
          <w:lang w:val="en-US" w:eastAsia="zh-CN"/>
        </w:rPr>
        <w:t>等</w:t>
      </w:r>
      <w:r>
        <w:rPr>
          <w:rFonts w:hint="eastAsia" w:ascii="仿宋" w:hAnsi="仿宋" w:eastAsia="仿宋"/>
          <w:sz w:val="32"/>
          <w:szCs w:val="32"/>
        </w:rPr>
        <w:t>“1+X”职业技能等级培训教师证书。</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该专业教师曾在全国中职学校信息化教学大赛、全国中职学校教师说课比赛、河北省职业院校信息化教学大赛、河北省中职学校教师平面设计技能大赛</w:t>
      </w:r>
      <w:r>
        <w:rPr>
          <w:rFonts w:hint="eastAsia" w:ascii="仿宋" w:hAnsi="仿宋" w:eastAsia="仿宋"/>
          <w:sz w:val="32"/>
          <w:szCs w:val="32"/>
          <w:lang w:eastAsia="zh-CN"/>
        </w:rPr>
        <w:t>、</w:t>
      </w:r>
      <w:r>
        <w:rPr>
          <w:rFonts w:hint="eastAsia" w:ascii="仿宋" w:hAnsi="仿宋" w:eastAsia="仿宋"/>
          <w:sz w:val="32"/>
          <w:szCs w:val="32"/>
          <w:lang w:val="en-US" w:eastAsia="zh-CN"/>
        </w:rPr>
        <w:t>河北省班主任素质大赛</w:t>
      </w:r>
      <w:r>
        <w:rPr>
          <w:rFonts w:hint="eastAsia" w:ascii="仿宋" w:hAnsi="仿宋" w:eastAsia="仿宋"/>
          <w:sz w:val="32"/>
          <w:szCs w:val="32"/>
        </w:rPr>
        <w:t>等活动中获奖，近三年指导学生参加多项</w:t>
      </w:r>
      <w:r>
        <w:rPr>
          <w:rFonts w:hint="eastAsia" w:ascii="仿宋" w:hAnsi="仿宋" w:eastAsia="仿宋"/>
          <w:sz w:val="32"/>
          <w:szCs w:val="32"/>
          <w:lang w:val="en-US" w:eastAsia="zh-CN"/>
        </w:rPr>
        <w:t>国际、</w:t>
      </w:r>
      <w:r>
        <w:rPr>
          <w:rFonts w:hint="eastAsia" w:ascii="仿宋" w:hAnsi="仿宋" w:eastAsia="仿宋"/>
          <w:sz w:val="32"/>
          <w:szCs w:val="32"/>
        </w:rPr>
        <w:t>全国、省市技能大赛，</w:t>
      </w:r>
      <w:r>
        <w:rPr>
          <w:rFonts w:hint="eastAsia" w:ascii="仿宋" w:hAnsi="仿宋" w:eastAsia="仿宋"/>
          <w:color w:val="000000" w:themeColor="text1"/>
          <w:sz w:val="32"/>
          <w:szCs w:val="32"/>
          <w:lang w:val="en-US" w:eastAsia="zh-CN"/>
        </w:rPr>
        <w:t>10</w:t>
      </w:r>
      <w:r>
        <w:rPr>
          <w:rFonts w:hint="eastAsia" w:ascii="仿宋" w:hAnsi="仿宋" w:eastAsia="仿宋"/>
          <w:sz w:val="32"/>
          <w:szCs w:val="32"/>
        </w:rPr>
        <w:t>余人次荣获技能大赛优秀辅导教师。</w:t>
      </w:r>
    </w:p>
    <w:p>
      <w:pPr>
        <w:overflowPunct w:val="0"/>
        <w:adjustRightInd w:val="0"/>
        <w:spacing w:line="560" w:lineRule="exact"/>
        <w:ind w:left="740" w:leftChars="200" w:hanging="320" w:hangingChars="100"/>
        <w:outlineLvl w:val="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）教学设施</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主要包括能够满足正常的课程教学、实习实训所需要的专业教室、实训室和实训基地。</w:t>
      </w:r>
    </w:p>
    <w:p>
      <w:pPr>
        <w:rPr>
          <w:rFonts w:hint="eastAsia" w:ascii="仿宋" w:hAnsi="仿宋" w:eastAsia="仿宋"/>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tcPr>
          <w:p>
            <w:pPr>
              <w:rPr>
                <w:rFonts w:hint="eastAsia" w:ascii="仿宋" w:hAnsi="仿宋" w:eastAsia="仿宋"/>
                <w:sz w:val="24"/>
              </w:rPr>
            </w:pPr>
            <w:r>
              <w:rPr>
                <w:rFonts w:hint="eastAsia" w:ascii="仿宋" w:hAnsi="仿宋" w:eastAsia="仿宋"/>
                <w:sz w:val="24"/>
              </w:rPr>
              <w:t>实训室名称</w:t>
            </w:r>
          </w:p>
        </w:tc>
        <w:tc>
          <w:tcPr>
            <w:tcW w:w="1659" w:type="dxa"/>
          </w:tcPr>
          <w:p>
            <w:pPr>
              <w:rPr>
                <w:rFonts w:hint="eastAsia" w:ascii="仿宋" w:hAnsi="仿宋" w:eastAsia="仿宋"/>
                <w:sz w:val="24"/>
              </w:rPr>
            </w:pPr>
            <w:r>
              <w:rPr>
                <w:rFonts w:hint="eastAsia" w:ascii="仿宋" w:hAnsi="仿宋" w:eastAsia="仿宋"/>
                <w:sz w:val="24"/>
              </w:rPr>
              <w:t>建筑面积</w:t>
            </w:r>
          </w:p>
        </w:tc>
        <w:tc>
          <w:tcPr>
            <w:tcW w:w="1659" w:type="dxa"/>
          </w:tcPr>
          <w:p>
            <w:pPr>
              <w:rPr>
                <w:rFonts w:hint="eastAsia" w:ascii="仿宋" w:hAnsi="仿宋" w:eastAsia="仿宋"/>
                <w:sz w:val="24"/>
              </w:rPr>
            </w:pPr>
            <w:r>
              <w:rPr>
                <w:rFonts w:hint="eastAsia" w:ascii="仿宋" w:hAnsi="仿宋" w:eastAsia="仿宋"/>
                <w:sz w:val="24"/>
              </w:rPr>
              <w:t>面向专业</w:t>
            </w:r>
          </w:p>
        </w:tc>
        <w:tc>
          <w:tcPr>
            <w:tcW w:w="1659" w:type="dxa"/>
          </w:tcPr>
          <w:p>
            <w:pPr>
              <w:rPr>
                <w:rFonts w:hint="eastAsia" w:ascii="仿宋" w:hAnsi="仿宋" w:eastAsia="仿宋"/>
                <w:sz w:val="24"/>
              </w:rPr>
            </w:pPr>
            <w:r>
              <w:rPr>
                <w:rFonts w:hint="eastAsia" w:ascii="仿宋" w:hAnsi="仿宋" w:eastAsia="仿宋"/>
                <w:sz w:val="24"/>
              </w:rPr>
              <w:t>实训内容</w:t>
            </w:r>
          </w:p>
        </w:tc>
        <w:tc>
          <w:tcPr>
            <w:tcW w:w="1660" w:type="dxa"/>
          </w:tcPr>
          <w:p>
            <w:pPr>
              <w:ind w:firstLine="240" w:firstLineChars="100"/>
              <w:rPr>
                <w:rFonts w:hint="eastAsia" w:ascii="仿宋" w:hAnsi="仿宋" w:eastAsia="仿宋"/>
                <w:sz w:val="24"/>
              </w:rPr>
            </w:pPr>
            <w:r>
              <w:rPr>
                <w:rFonts w:hint="eastAsia" w:ascii="仿宋" w:hAnsi="仿宋" w:eastAsia="仿宋"/>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tcPr>
          <w:p>
            <w:pPr>
              <w:rPr>
                <w:rFonts w:hint="eastAsia" w:ascii="仿宋" w:hAnsi="仿宋" w:eastAsia="仿宋"/>
                <w:sz w:val="24"/>
              </w:rPr>
            </w:pPr>
            <w:r>
              <w:rPr>
                <w:rFonts w:hint="eastAsia" w:ascii="仿宋" w:hAnsi="仿宋" w:eastAsia="仿宋"/>
                <w:sz w:val="24"/>
              </w:rPr>
              <w:t>电子商务运营实训室</w:t>
            </w:r>
          </w:p>
        </w:tc>
        <w:tc>
          <w:tcPr>
            <w:tcW w:w="1659" w:type="dxa"/>
          </w:tcPr>
          <w:p>
            <w:pPr>
              <w:rPr>
                <w:rFonts w:hint="eastAsia" w:ascii="仿宋" w:hAnsi="仿宋" w:eastAsia="仿宋"/>
                <w:sz w:val="24"/>
              </w:rPr>
            </w:pPr>
            <w:r>
              <w:rPr>
                <w:rFonts w:ascii="仿宋" w:hAnsi="仿宋" w:eastAsia="仿宋"/>
                <w:sz w:val="24"/>
              </w:rPr>
              <w:t>126㎡</w:t>
            </w:r>
          </w:p>
        </w:tc>
        <w:tc>
          <w:tcPr>
            <w:tcW w:w="1659" w:type="dxa"/>
          </w:tcPr>
          <w:p>
            <w:pPr>
              <w:rPr>
                <w:rFonts w:hint="eastAsia" w:ascii="仿宋" w:hAnsi="仿宋" w:eastAsia="仿宋"/>
                <w:sz w:val="24"/>
              </w:rPr>
            </w:pPr>
            <w:r>
              <w:rPr>
                <w:rFonts w:hint="eastAsia" w:ascii="仿宋" w:hAnsi="仿宋" w:eastAsia="仿宋"/>
                <w:sz w:val="24"/>
              </w:rPr>
              <w:t>电子商务、网络营销、跨境电商、物流服务与管理、移动商务、国际货代</w:t>
            </w:r>
          </w:p>
        </w:tc>
        <w:tc>
          <w:tcPr>
            <w:tcW w:w="1659" w:type="dxa"/>
          </w:tcPr>
          <w:p>
            <w:pPr>
              <w:rPr>
                <w:rFonts w:hint="eastAsia" w:ascii="仿宋" w:hAnsi="仿宋" w:eastAsia="仿宋"/>
                <w:sz w:val="24"/>
              </w:rPr>
            </w:pPr>
            <w:r>
              <w:rPr>
                <w:rFonts w:hint="eastAsia" w:ascii="仿宋" w:hAnsi="仿宋" w:eastAsia="仿宋"/>
                <w:sz w:val="24"/>
              </w:rPr>
              <w:t>电子商务综合实训、网店装修实训、运营推广、网络营销策划实训</w:t>
            </w:r>
          </w:p>
        </w:tc>
        <w:tc>
          <w:tcPr>
            <w:tcW w:w="1660" w:type="dxa"/>
          </w:tcPr>
          <w:p>
            <w:pPr>
              <w:rPr>
                <w:rFonts w:hint="eastAsia" w:ascii="仿宋" w:hAnsi="仿宋" w:eastAsia="仿宋"/>
                <w:sz w:val="24"/>
              </w:rPr>
            </w:pPr>
            <w:r>
              <w:rPr>
                <w:rFonts w:hint="eastAsia" w:ascii="仿宋" w:hAnsi="仿宋" w:eastAsia="仿宋"/>
                <w:sz w:val="24"/>
              </w:rPr>
              <w:t>清华同方超越E500</w:t>
            </w:r>
            <w:r>
              <w:rPr>
                <w:rFonts w:ascii="仿宋" w:hAnsi="仿宋" w:eastAsia="仿宋"/>
                <w:sz w:val="24"/>
              </w:rPr>
              <w:t>(5</w:t>
            </w:r>
            <w:r>
              <w:rPr>
                <w:rFonts w:hint="eastAsia" w:ascii="仿宋" w:hAnsi="仿宋" w:eastAsia="仿宋"/>
                <w:sz w:val="24"/>
              </w:rPr>
              <w:t>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tcPr>
          <w:p>
            <w:pPr>
              <w:rPr>
                <w:rFonts w:hint="eastAsia" w:ascii="仿宋" w:hAnsi="仿宋" w:eastAsia="仿宋"/>
                <w:sz w:val="24"/>
              </w:rPr>
            </w:pPr>
            <w:r>
              <w:rPr>
                <w:rFonts w:hint="eastAsia" w:ascii="仿宋" w:hAnsi="仿宋" w:eastAsia="仿宋"/>
                <w:sz w:val="24"/>
              </w:rPr>
              <w:t>网络营销实训室</w:t>
            </w:r>
          </w:p>
        </w:tc>
        <w:tc>
          <w:tcPr>
            <w:tcW w:w="1659" w:type="dxa"/>
          </w:tcPr>
          <w:p>
            <w:pPr>
              <w:rPr>
                <w:rFonts w:ascii="仿宋" w:hAnsi="仿宋" w:eastAsia="仿宋"/>
                <w:sz w:val="24"/>
              </w:rPr>
            </w:pPr>
            <w:r>
              <w:rPr>
                <w:rFonts w:ascii="仿宋" w:hAnsi="仿宋" w:eastAsia="仿宋"/>
                <w:sz w:val="24"/>
              </w:rPr>
              <w:t>126㎡</w:t>
            </w:r>
          </w:p>
        </w:tc>
        <w:tc>
          <w:tcPr>
            <w:tcW w:w="1659" w:type="dxa"/>
          </w:tcPr>
          <w:p>
            <w:pPr>
              <w:rPr>
                <w:rFonts w:hint="eastAsia" w:ascii="仿宋" w:hAnsi="仿宋" w:eastAsia="仿宋"/>
                <w:sz w:val="24"/>
              </w:rPr>
            </w:pPr>
            <w:r>
              <w:rPr>
                <w:rFonts w:hint="eastAsia" w:ascii="仿宋" w:hAnsi="仿宋" w:eastAsia="仿宋"/>
                <w:sz w:val="24"/>
              </w:rPr>
              <w:t>电子商务、网络营销、跨境电商、物流服务与管理、移动商务、国际货代</w:t>
            </w:r>
          </w:p>
        </w:tc>
        <w:tc>
          <w:tcPr>
            <w:tcW w:w="1659" w:type="dxa"/>
          </w:tcPr>
          <w:p>
            <w:pPr>
              <w:rPr>
                <w:rFonts w:hint="eastAsia" w:ascii="仿宋" w:hAnsi="仿宋" w:eastAsia="仿宋"/>
                <w:sz w:val="24"/>
              </w:rPr>
            </w:pPr>
            <w:r>
              <w:rPr>
                <w:rFonts w:hint="eastAsia" w:ascii="仿宋" w:hAnsi="仿宋" w:eastAsia="仿宋"/>
                <w:sz w:val="24"/>
              </w:rPr>
              <w:t>网络营销实训、短视频制作实训、图像处理实训、</w:t>
            </w:r>
          </w:p>
        </w:tc>
        <w:tc>
          <w:tcPr>
            <w:tcW w:w="1660" w:type="dxa"/>
          </w:tcPr>
          <w:p>
            <w:pPr>
              <w:rPr>
                <w:rFonts w:hint="eastAsia" w:ascii="仿宋" w:hAnsi="仿宋" w:eastAsia="仿宋"/>
                <w:sz w:val="24"/>
              </w:rPr>
            </w:pPr>
            <w:r>
              <w:rPr>
                <w:rFonts w:hint="eastAsia" w:ascii="仿宋" w:hAnsi="仿宋" w:eastAsia="仿宋"/>
                <w:sz w:val="24"/>
              </w:rPr>
              <w:t>宏基V</w:t>
            </w:r>
            <w:r>
              <w:rPr>
                <w:rFonts w:ascii="仿宋" w:hAnsi="仿宋" w:eastAsia="仿宋"/>
                <w:sz w:val="24"/>
              </w:rPr>
              <w:t>eriton E450(50</w:t>
            </w:r>
            <w:r>
              <w:rPr>
                <w:rFonts w:hint="eastAsia" w:ascii="仿宋" w:hAnsi="仿宋" w:eastAsia="仿宋"/>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tcPr>
          <w:p>
            <w:pPr>
              <w:rPr>
                <w:rFonts w:hint="eastAsia" w:ascii="仿宋" w:hAnsi="仿宋" w:eastAsia="仿宋"/>
                <w:sz w:val="24"/>
              </w:rPr>
            </w:pPr>
            <w:r>
              <w:rPr>
                <w:rFonts w:hint="eastAsia" w:ascii="仿宋" w:hAnsi="仿宋" w:eastAsia="仿宋"/>
                <w:sz w:val="24"/>
              </w:rPr>
              <w:t>移动商务实训室</w:t>
            </w:r>
          </w:p>
        </w:tc>
        <w:tc>
          <w:tcPr>
            <w:tcW w:w="1659" w:type="dxa"/>
          </w:tcPr>
          <w:p>
            <w:pPr>
              <w:rPr>
                <w:rFonts w:hint="eastAsia" w:ascii="仿宋" w:hAnsi="仿宋" w:eastAsia="仿宋"/>
                <w:sz w:val="24"/>
              </w:rPr>
            </w:pPr>
            <w:r>
              <w:rPr>
                <w:rFonts w:ascii="仿宋" w:hAnsi="仿宋" w:eastAsia="仿宋"/>
                <w:sz w:val="24"/>
              </w:rPr>
              <w:t>126㎡</w:t>
            </w:r>
          </w:p>
        </w:tc>
        <w:tc>
          <w:tcPr>
            <w:tcW w:w="1659" w:type="dxa"/>
          </w:tcPr>
          <w:p>
            <w:pPr>
              <w:rPr>
                <w:rFonts w:hint="eastAsia" w:ascii="仿宋" w:hAnsi="仿宋" w:eastAsia="仿宋"/>
                <w:sz w:val="24"/>
              </w:rPr>
            </w:pPr>
            <w:r>
              <w:rPr>
                <w:rFonts w:hint="eastAsia" w:ascii="仿宋" w:hAnsi="仿宋" w:eastAsia="仿宋"/>
                <w:sz w:val="24"/>
              </w:rPr>
              <w:t>电子商务、网络营销、跨境电商、物流服务与管理、移动商务、国际货代</w:t>
            </w:r>
          </w:p>
        </w:tc>
        <w:tc>
          <w:tcPr>
            <w:tcW w:w="1659" w:type="dxa"/>
          </w:tcPr>
          <w:p>
            <w:pPr>
              <w:rPr>
                <w:rFonts w:hint="eastAsia" w:ascii="仿宋" w:hAnsi="仿宋" w:eastAsia="仿宋"/>
                <w:sz w:val="24"/>
              </w:rPr>
            </w:pPr>
            <w:r>
              <w:rPr>
                <w:rFonts w:hint="eastAsia" w:ascii="仿宋" w:hAnsi="仿宋" w:eastAsia="仿宋"/>
                <w:sz w:val="24"/>
              </w:rPr>
              <w:t>移动商务、微信营销、电子商务综合实训</w:t>
            </w:r>
          </w:p>
        </w:tc>
        <w:tc>
          <w:tcPr>
            <w:tcW w:w="1660" w:type="dxa"/>
          </w:tcPr>
          <w:p>
            <w:pPr>
              <w:rPr>
                <w:rFonts w:hint="eastAsia" w:ascii="仿宋" w:hAnsi="仿宋" w:eastAsia="仿宋"/>
                <w:sz w:val="24"/>
              </w:rPr>
            </w:pPr>
            <w:r>
              <w:rPr>
                <w:rFonts w:hint="eastAsia" w:ascii="仿宋" w:hAnsi="仿宋" w:eastAsia="仿宋"/>
                <w:sz w:val="24"/>
              </w:rPr>
              <w:t>清华同方超越E500</w:t>
            </w:r>
            <w:r>
              <w:rPr>
                <w:rFonts w:ascii="仿宋" w:hAnsi="仿宋" w:eastAsia="仿宋"/>
                <w:sz w:val="24"/>
              </w:rPr>
              <w:t>(5</w:t>
            </w:r>
            <w:r>
              <w:rPr>
                <w:rFonts w:hint="eastAsia" w:ascii="仿宋" w:hAnsi="仿宋" w:eastAsia="仿宋"/>
                <w:sz w:val="24"/>
              </w:rPr>
              <w:t>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tcPr>
          <w:p>
            <w:pPr>
              <w:rPr>
                <w:rFonts w:hint="eastAsia" w:ascii="仿宋" w:hAnsi="仿宋" w:eastAsia="仿宋"/>
                <w:sz w:val="24"/>
              </w:rPr>
            </w:pPr>
            <w:r>
              <w:rPr>
                <w:rFonts w:hint="eastAsia" w:ascii="仿宋" w:hAnsi="仿宋" w:eastAsia="仿宋"/>
                <w:sz w:val="24"/>
              </w:rPr>
              <w:t>京东电商产教融合人才培养基地</w:t>
            </w:r>
          </w:p>
        </w:tc>
        <w:tc>
          <w:tcPr>
            <w:tcW w:w="1659" w:type="dxa"/>
          </w:tcPr>
          <w:p>
            <w:pPr>
              <w:rPr>
                <w:rFonts w:hint="eastAsia" w:ascii="仿宋" w:hAnsi="仿宋" w:eastAsia="仿宋"/>
                <w:sz w:val="24"/>
              </w:rPr>
            </w:pPr>
            <w:r>
              <w:rPr>
                <w:rFonts w:ascii="仿宋" w:hAnsi="仿宋" w:eastAsia="仿宋"/>
                <w:sz w:val="24"/>
              </w:rPr>
              <w:t>1200㎡</w:t>
            </w:r>
          </w:p>
        </w:tc>
        <w:tc>
          <w:tcPr>
            <w:tcW w:w="1659" w:type="dxa"/>
          </w:tcPr>
          <w:p>
            <w:pPr>
              <w:rPr>
                <w:rFonts w:hint="eastAsia" w:ascii="仿宋" w:hAnsi="仿宋" w:eastAsia="仿宋"/>
                <w:sz w:val="24"/>
              </w:rPr>
            </w:pPr>
            <w:r>
              <w:rPr>
                <w:rFonts w:hint="eastAsia" w:ascii="仿宋" w:hAnsi="仿宋" w:eastAsia="仿宋"/>
                <w:sz w:val="24"/>
              </w:rPr>
              <w:t>电子商务、网络营销、跨境电商、物流服务与管理、移动商务、国际货代</w:t>
            </w:r>
          </w:p>
        </w:tc>
        <w:tc>
          <w:tcPr>
            <w:tcW w:w="1659" w:type="dxa"/>
          </w:tcPr>
          <w:p>
            <w:pPr>
              <w:rPr>
                <w:rFonts w:hint="eastAsia" w:ascii="仿宋" w:hAnsi="仿宋" w:eastAsia="仿宋"/>
                <w:sz w:val="24"/>
              </w:rPr>
            </w:pPr>
            <w:r>
              <w:rPr>
                <w:rFonts w:hint="eastAsia" w:ascii="仿宋" w:hAnsi="仿宋" w:eastAsia="仿宋"/>
                <w:sz w:val="24"/>
              </w:rPr>
              <w:t>微博抖音微信等新媒体平台综合实训、网络营销策划实训、直播电商岗位技能综合实训</w:t>
            </w:r>
          </w:p>
        </w:tc>
        <w:tc>
          <w:tcPr>
            <w:tcW w:w="1660" w:type="dxa"/>
          </w:tcPr>
          <w:p>
            <w:pPr>
              <w:rPr>
                <w:rFonts w:hint="eastAsia" w:ascii="仿宋" w:hAnsi="仿宋" w:eastAsia="仿宋"/>
                <w:sz w:val="24"/>
              </w:rPr>
            </w:pPr>
            <w:r>
              <w:rPr>
                <w:rFonts w:hint="eastAsia" w:ascii="仿宋" w:hAnsi="仿宋" w:eastAsia="仿宋"/>
                <w:sz w:val="24"/>
              </w:rPr>
              <w:t>宏基V</w:t>
            </w:r>
            <w:r>
              <w:rPr>
                <w:rFonts w:ascii="仿宋" w:hAnsi="仿宋" w:eastAsia="仿宋"/>
                <w:sz w:val="24"/>
              </w:rPr>
              <w:t>eriton E450</w:t>
            </w:r>
            <w:r>
              <w:rPr>
                <w:rFonts w:hint="eastAsia" w:ascii="仿宋" w:hAnsi="仿宋" w:eastAsia="仿宋"/>
                <w:sz w:val="24"/>
              </w:rPr>
              <w:t>（150台）</w:t>
            </w:r>
          </w:p>
        </w:tc>
      </w:tr>
    </w:tbl>
    <w:p>
      <w:pPr>
        <w:overflowPunct w:val="0"/>
        <w:adjustRightInd w:val="0"/>
        <w:spacing w:line="560" w:lineRule="exact"/>
        <w:ind w:left="740" w:leftChars="200" w:hanging="320" w:hangingChars="100"/>
        <w:outlineLvl w:val="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）教学资源</w:t>
      </w:r>
    </w:p>
    <w:p>
      <w:pPr>
        <w:overflowPunct w:val="0"/>
        <w:adjustRightInd w:val="0"/>
        <w:spacing w:line="560" w:lineRule="exact"/>
        <w:ind w:firstLine="640" w:firstLineChars="200"/>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1、教材</w:t>
      </w:r>
    </w:p>
    <w:p>
      <w:pPr>
        <w:overflowPunct w:val="0"/>
        <w:adjustRightInd w:val="0"/>
        <w:spacing w:line="560" w:lineRule="exact"/>
        <w:ind w:firstLine="640" w:firstLineChars="200"/>
        <w:outlineLvl w:val="0"/>
        <w:rPr>
          <w:rFonts w:hint="eastAsia" w:ascii="仿宋" w:hAnsi="仿宋" w:eastAsia="仿宋" w:cs="仿宋"/>
          <w:sz w:val="32"/>
          <w:szCs w:val="32"/>
          <w:lang w:eastAsia="zh-CN"/>
        </w:rPr>
      </w:pPr>
      <w:r>
        <w:rPr>
          <w:rFonts w:hint="eastAsia" w:ascii="仿宋" w:hAnsi="仿宋" w:eastAsia="仿宋" w:cs="仿宋"/>
          <w:sz w:val="32"/>
          <w:szCs w:val="32"/>
          <w:lang w:val="en-US" w:eastAsia="zh-CN"/>
        </w:rPr>
        <w:t>本专业选用职业教育国家规划教材，以“十四五”职业教育国家规划教材为主，包括</w:t>
      </w:r>
      <w:r>
        <w:rPr>
          <w:rFonts w:hint="eastAsia" w:ascii="仿宋" w:hAnsi="仿宋" w:eastAsia="仿宋" w:cs="仿宋"/>
          <w:sz w:val="32"/>
          <w:szCs w:val="32"/>
        </w:rPr>
        <w:t>《</w:t>
      </w:r>
      <w:r>
        <w:rPr>
          <w:rFonts w:hint="eastAsia" w:ascii="仿宋" w:hAnsi="仿宋" w:eastAsia="仿宋" w:cs="仿宋"/>
          <w:sz w:val="32"/>
          <w:szCs w:val="32"/>
          <w:lang w:val="en-US" w:eastAsia="zh-CN"/>
        </w:rPr>
        <w:t>市场营销</w:t>
      </w:r>
      <w:r>
        <w:rPr>
          <w:rFonts w:hint="eastAsia" w:ascii="仿宋" w:hAnsi="仿宋" w:eastAsia="仿宋" w:cs="仿宋"/>
          <w:sz w:val="32"/>
          <w:szCs w:val="32"/>
        </w:rPr>
        <w:t>基础</w:t>
      </w:r>
      <w:r>
        <w:rPr>
          <w:rFonts w:hint="eastAsia" w:ascii="仿宋" w:hAnsi="仿宋" w:eastAsia="仿宋" w:cs="仿宋"/>
          <w:sz w:val="32"/>
          <w:szCs w:val="32"/>
          <w:lang w:val="en-US" w:eastAsia="zh-CN"/>
        </w:rPr>
        <w:t>知识</w:t>
      </w:r>
      <w:r>
        <w:rPr>
          <w:rFonts w:hint="eastAsia" w:ascii="仿宋" w:hAnsi="仿宋" w:eastAsia="仿宋" w:cs="仿宋"/>
          <w:sz w:val="32"/>
          <w:szCs w:val="32"/>
        </w:rPr>
        <w:t>》、《</w:t>
      </w:r>
      <w:r>
        <w:rPr>
          <w:rFonts w:hint="eastAsia" w:ascii="仿宋" w:hAnsi="仿宋" w:eastAsia="仿宋" w:cs="仿宋"/>
          <w:sz w:val="32"/>
          <w:szCs w:val="32"/>
          <w:lang w:val="en-US" w:eastAsia="zh-CN"/>
        </w:rPr>
        <w:t>网络营销</w:t>
      </w:r>
      <w:r>
        <w:rPr>
          <w:rFonts w:hint="eastAsia" w:ascii="仿宋" w:hAnsi="仿宋" w:eastAsia="仿宋" w:cs="仿宋"/>
          <w:sz w:val="32"/>
          <w:szCs w:val="32"/>
        </w:rPr>
        <w:t>》、《网店美工》、《</w:t>
      </w:r>
      <w:r>
        <w:rPr>
          <w:rFonts w:hint="eastAsia" w:ascii="仿宋" w:hAnsi="仿宋" w:eastAsia="仿宋" w:cs="仿宋"/>
          <w:sz w:val="32"/>
          <w:szCs w:val="32"/>
          <w:lang w:val="en-US" w:eastAsia="zh-CN"/>
        </w:rPr>
        <w:t>电子商务</w:t>
      </w:r>
      <w:r>
        <w:rPr>
          <w:rFonts w:hint="eastAsia" w:ascii="仿宋" w:hAnsi="仿宋" w:eastAsia="仿宋" w:cs="仿宋"/>
          <w:sz w:val="32"/>
          <w:szCs w:val="32"/>
        </w:rPr>
        <w:t>商品知识》、《网店客服》、《</w:t>
      </w:r>
      <w:r>
        <w:rPr>
          <w:rFonts w:hint="eastAsia" w:ascii="仿宋" w:hAnsi="仿宋" w:eastAsia="仿宋" w:cs="仿宋"/>
          <w:sz w:val="32"/>
          <w:szCs w:val="32"/>
          <w:lang w:val="en-US" w:eastAsia="zh-CN"/>
        </w:rPr>
        <w:t>跨境电子商务</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短视频运营</w:t>
      </w:r>
      <w:r>
        <w:rPr>
          <w:rFonts w:hint="eastAsia" w:ascii="仿宋" w:hAnsi="仿宋" w:eastAsia="仿宋" w:cs="仿宋"/>
          <w:sz w:val="32"/>
          <w:szCs w:val="32"/>
        </w:rPr>
        <w:t>》等</w:t>
      </w:r>
      <w:r>
        <w:rPr>
          <w:rFonts w:hint="eastAsia" w:ascii="仿宋" w:hAnsi="仿宋" w:eastAsia="仿宋" w:cs="仿宋"/>
          <w:sz w:val="32"/>
          <w:szCs w:val="32"/>
          <w:lang w:eastAsia="zh-CN"/>
        </w:rPr>
        <w:t>。</w:t>
      </w:r>
    </w:p>
    <w:p>
      <w:pPr>
        <w:numPr>
          <w:ilvl w:val="0"/>
          <w:numId w:val="0"/>
        </w:numPr>
        <w:overflowPunct w:val="0"/>
        <w:adjustRightInd w:val="0"/>
        <w:spacing w:line="560" w:lineRule="exact"/>
        <w:ind w:left="320" w:leftChars="0" w:firstLine="320" w:firstLineChars="1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2、图书</w:t>
      </w:r>
    </w:p>
    <w:p>
      <w:pPr>
        <w:overflowPunct w:val="0"/>
        <w:adjustRightInd w:val="0"/>
        <w:spacing w:line="560" w:lineRule="exact"/>
        <w:ind w:firstLine="640" w:firstLineChars="200"/>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除国家规划教材外，本专业现有基础课程图书、核心课程图书和专业拓展类书籍等作为参考。同时有我校教师主编正式出版的图书</w:t>
      </w:r>
      <w:r>
        <w:rPr>
          <w:rFonts w:hint="eastAsia" w:ascii="仿宋" w:hAnsi="仿宋" w:eastAsia="仿宋" w:cs="仿宋"/>
          <w:sz w:val="32"/>
          <w:szCs w:val="32"/>
        </w:rPr>
        <w:t>《</w:t>
      </w:r>
      <w:r>
        <w:rPr>
          <w:rFonts w:hint="eastAsia" w:ascii="仿宋" w:hAnsi="仿宋" w:eastAsia="仿宋" w:cs="仿宋"/>
          <w:sz w:val="32"/>
          <w:szCs w:val="32"/>
          <w:lang w:val="en-US" w:eastAsia="zh-CN"/>
        </w:rPr>
        <w:t>电子商务基础</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市场营销</w:t>
      </w:r>
      <w:r>
        <w:rPr>
          <w:rFonts w:hint="eastAsia" w:ascii="仿宋" w:hAnsi="仿宋" w:eastAsia="仿宋" w:cs="仿宋"/>
          <w:sz w:val="32"/>
          <w:szCs w:val="32"/>
        </w:rPr>
        <w:t>》</w:t>
      </w:r>
      <w:r>
        <w:rPr>
          <w:rFonts w:hint="eastAsia" w:ascii="仿宋" w:hAnsi="仿宋" w:eastAsia="仿宋" w:cs="仿宋"/>
          <w:sz w:val="32"/>
          <w:szCs w:val="32"/>
          <w:lang w:val="en-US" w:eastAsia="zh-CN"/>
        </w:rPr>
        <w:t>和校本教材等作为教学参考。</w:t>
      </w:r>
    </w:p>
    <w:p>
      <w:pPr>
        <w:numPr>
          <w:ilvl w:val="0"/>
          <w:numId w:val="0"/>
        </w:numPr>
        <w:overflowPunct w:val="0"/>
        <w:adjustRightInd w:val="0"/>
        <w:spacing w:line="560" w:lineRule="exact"/>
        <w:ind w:firstLine="640" w:firstLineChars="200"/>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3、数字资源</w:t>
      </w:r>
    </w:p>
    <w:p>
      <w:pPr>
        <w:overflowPunct w:val="0"/>
        <w:adjustRightInd w:val="0"/>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建立专业课程教学资源库，其中包含电子教案、电子教材、课件、教学视频、多媒体素材、习题库、试题库、案例库、在线测试等，为实现学生自主学习和相互交流提供优质的共享资源平台。</w:t>
      </w:r>
    </w:p>
    <w:p>
      <w:pPr>
        <w:overflowPunct w:val="0"/>
        <w:adjustRightInd w:val="0"/>
        <w:spacing w:line="56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此外实训课还有</w:t>
      </w:r>
      <w:r>
        <w:rPr>
          <w:rFonts w:hint="eastAsia" w:ascii="仿宋" w:hAnsi="仿宋" w:eastAsia="仿宋" w:cs="仿宋"/>
          <w:sz w:val="32"/>
          <w:szCs w:val="32"/>
        </w:rPr>
        <w:t>网店开设与装修实训软件、TB电子商务推广实训系统、网店客户服务实训软件、BD搜索引擎推广实训系统等实训软件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鸿科经纬1+X网店运营推广系统等教学平台。 </w:t>
      </w:r>
    </w:p>
    <w:p>
      <w:pPr>
        <w:overflowPunct w:val="0"/>
        <w:adjustRightInd w:val="0"/>
        <w:spacing w:line="560" w:lineRule="exact"/>
        <w:ind w:left="740" w:leftChars="200" w:hanging="320" w:hangingChars="100"/>
        <w:outlineLvl w:val="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）教学方法</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依据专业培养目标、课程要求、学生能力与教学资源，采取适当的教学方法，已达到预期的教学目标。</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公共基础课可以采取讲授式教学、启发式教学、问题探究式教学等方法。通过集体讲解、师生对话、小组讨论、案例分析等形式，调动学生的学习积极性，为专业课的学习以及再教育奠定基础。</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专业课可以采用项目教学、启发式教学、情景模拟教学、案例教学等方法，利用集体讲解、师生对话、案例分析、小组讨论、经营模拟等形式，应用教学软件等数字化教学资源，使学生更好地理解和掌握电子商务的各项基本技能，为以后的学习和就业打好基础。</w:t>
      </w:r>
    </w:p>
    <w:p>
      <w:pPr>
        <w:overflowPunct w:val="0"/>
        <w:adjustRightInd w:val="0"/>
        <w:spacing w:line="560" w:lineRule="exact"/>
        <w:ind w:left="740" w:leftChars="200" w:hanging="320" w:hangingChars="100"/>
        <w:outlineLvl w:val="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五</w:t>
      </w:r>
      <w:r>
        <w:rPr>
          <w:rFonts w:hint="eastAsia" w:ascii="楷体" w:hAnsi="楷体" w:eastAsia="楷体" w:cs="楷体"/>
          <w:sz w:val="32"/>
          <w:szCs w:val="32"/>
        </w:rPr>
        <w:t>）学习评价</w:t>
      </w:r>
    </w:p>
    <w:p>
      <w:pPr>
        <w:overflowPunct w:val="0"/>
        <w:adjustRightInd w:val="0"/>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val="en-US" w:eastAsia="zh-CN"/>
        </w:rPr>
        <w:t>本</w:t>
      </w:r>
      <w:r>
        <w:rPr>
          <w:rFonts w:hint="eastAsia" w:ascii="仿宋" w:hAnsi="仿宋" w:eastAsia="仿宋" w:cs="仿宋"/>
          <w:sz w:val="32"/>
          <w:szCs w:val="32"/>
        </w:rPr>
        <w:t>专业培养目标和人才理念，建立科学的评价标准。教学评价应体现评价主体、评价方式、评价过程的多元化，注意吸收家长、行业企业参与。校内校外评价结合，职业技能鉴定与学业考核结合，教师评价、学生互评与自我评价结合。过程性评价与结果性评价结合，不仅关注学生对知识的理解和技能的掌握，更要关注知识在实践中运用与解决实际问题的能力水平，重视规范操作、安全文明生产等职业素质的形成，以及节约能源、节省原材料与爱护生产设备，保护环境等意识与观念的树立。</w:t>
      </w:r>
    </w:p>
    <w:p>
      <w:pPr>
        <w:overflowPunct w:val="0"/>
        <w:adjustRightInd w:val="0"/>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具体如下：</w:t>
      </w:r>
    </w:p>
    <w:p>
      <w:pPr>
        <w:overflowPunct w:val="0"/>
        <w:adjustRightInd w:val="0"/>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1.教师教学评价</w:t>
      </w:r>
      <w:bookmarkStart w:id="3" w:name="_GoBack"/>
      <w:bookmarkEnd w:id="3"/>
    </w:p>
    <w:p>
      <w:pPr>
        <w:overflowPunct w:val="0"/>
        <w:adjustRightInd w:val="0"/>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教师教学评价指标主要包括教学能力评价（综合素养）、教学过程（行为）评价和教学目标评价三部分。具体实施过程中可通过学生评教（综合素养：学生认可度、满意度、教学行为）、教学常规检查（教学过程、教学目标达成）、物流行业企业专家评（教师对生产技能掌控度）等部分。</w:t>
      </w:r>
    </w:p>
    <w:p>
      <w:pPr>
        <w:overflowPunct w:val="0"/>
        <w:adjustRightInd w:val="0"/>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2.学生学业评价</w:t>
      </w:r>
    </w:p>
    <w:p>
      <w:pPr>
        <w:overflowPunct w:val="0"/>
        <w:adjustRightInd w:val="0"/>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坚持用多元评价方式引导学生形成个性化的学习方式，评价应体现评价标准、评价主体、评价方式、评价过程的多元化。对学生考核评价兼顾认知、技能、情感等多个方面。专业技能课评价方式建议如下:</w:t>
      </w:r>
    </w:p>
    <w:p>
      <w:pPr>
        <w:overflowPunct w:val="0"/>
        <w:adjustRightInd w:val="0"/>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1）职业素养评价。每门专业技能课学习，均需与相应岗位对应，学生的日常行为习惯与职场要求对应。因此，物流职业素养培养在课程学习中占非常重要地位，学生专业技能课程学业评价中将学生的日常行为习惯纳入评价。职业素质评价可以包括：物流管理专业企业调研活动评价，劳动素质活动评价，物流专业社团活动参与评价等。</w:t>
      </w:r>
    </w:p>
    <w:p>
      <w:pPr>
        <w:overflowPunct w:val="0"/>
        <w:adjustRightInd w:val="0"/>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2）职业技能评价。职业技能的培养是专业技能课程的重点，各科评价的重点是基本技能掌握与应用，解决实际问题能力。职业技能评价可以包括：快运业务体验活动评价，物流电子商务实战活动评价，又车驾驶专业技能评价，物流技术水平评价等。</w:t>
      </w:r>
    </w:p>
    <w:p>
      <w:pPr>
        <w:overflowPunct w:val="0"/>
        <w:adjustRightInd w:val="0"/>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3）学习能力评价。现代物流企业基层岗位对高科技应用能力要求较高，学生的学习能力及知识与技能迁移能力关系到学生未来职业生涯的发展。学习能力评价可以包括：课程学习的评价，企业认知实习评价，企业顶岗实习的评价等。</w:t>
      </w:r>
    </w:p>
    <w:p>
      <w:pPr>
        <w:overflowPunct w:val="0"/>
        <w:adjustRightInd w:val="0"/>
        <w:spacing w:line="560" w:lineRule="exact"/>
        <w:ind w:left="740" w:leftChars="200" w:hanging="320" w:hangingChars="100"/>
        <w:outlineLvl w:val="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六</w:t>
      </w:r>
      <w:r>
        <w:rPr>
          <w:rFonts w:hint="eastAsia" w:ascii="楷体" w:hAnsi="楷体" w:eastAsia="楷体" w:cs="楷体"/>
          <w:sz w:val="32"/>
          <w:szCs w:val="32"/>
        </w:rPr>
        <w:t>）质量管理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与实际紧密联系，动态发展课程内容。及时掌握本地区经济发展及人才需求情况，本着适应与超前的原则，不断优化课程结构。并且要注意打破课程、教材、教学之间的等号，在教学中学校和教师要积极构建课程及内容。</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十</w:t>
      </w:r>
      <w:r>
        <w:rPr>
          <w:rFonts w:eastAsia="黑体"/>
          <w:sz w:val="32"/>
          <w:szCs w:val="32"/>
        </w:rPr>
        <w:t>、毕业要求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1.在规定的学习时间段内，无留级、留校察看等不良记录，修满人才培养方案规定的学时学分，完成规定的教学活动。</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2.具有人文社会素养、社会责任感，能够在实践中理解并遵守职业道德和规范，履行责任。</w:t>
      </w:r>
    </w:p>
    <w:p>
      <w:pPr>
        <w:spacing w:line="560" w:lineRule="exact"/>
        <w:ind w:firstLine="645"/>
        <w:rPr>
          <w:sz w:val="32"/>
          <w:szCs w:val="32"/>
        </w:rPr>
      </w:pPr>
      <w:r>
        <w:rPr>
          <w:rFonts w:hint="eastAsia" w:ascii="仿宋" w:hAnsi="仿宋" w:eastAsia="仿宋" w:cs="仿宋"/>
          <w:sz w:val="32"/>
          <w:szCs w:val="32"/>
        </w:rPr>
        <w:t>3.能够在多学科背景下的团队中承担个体、团体成员以及负责人的角色。</w:t>
      </w:r>
    </w:p>
    <w:sectPr>
      <w:footerReference r:id="rId4" w:type="default"/>
      <w:pgSz w:w="11906" w:h="16838"/>
      <w:pgMar w:top="2098" w:right="1587" w:bottom="1417" w:left="158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6867A5-7DA7-4F4E-8612-8ED7355F53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CE813213-C80C-43B6-BC2F-29FFE5EECA11}"/>
  </w:font>
  <w:font w:name="方正仿宋简体">
    <w:altName w:val="微软雅黑"/>
    <w:panose1 w:val="00000000000000000000"/>
    <w:charset w:val="86"/>
    <w:family w:val="auto"/>
    <w:pitch w:val="default"/>
    <w:sig w:usb0="00000000" w:usb1="00000000" w:usb2="00000010" w:usb3="00000000" w:csb0="00040000" w:csb1="00000000"/>
    <w:embedRegular r:id="rId3" w:fontKey="{5759EF58-5A9F-4483-BF3E-D56115CBCE57}"/>
  </w:font>
  <w:font w:name="仿宋">
    <w:panose1 w:val="02010609060101010101"/>
    <w:charset w:val="86"/>
    <w:family w:val="modern"/>
    <w:pitch w:val="default"/>
    <w:sig w:usb0="800002BF" w:usb1="38CF7CFA" w:usb2="00000016" w:usb3="00000000" w:csb0="00040001" w:csb1="00000000"/>
    <w:embedRegular r:id="rId4" w:fontKey="{0B5FFBA3-ADE4-4D2C-BB03-D5A7ECB20D94}"/>
  </w:font>
  <w:font w:name="楷体">
    <w:panose1 w:val="02010609060101010101"/>
    <w:charset w:val="86"/>
    <w:family w:val="modern"/>
    <w:pitch w:val="default"/>
    <w:sig w:usb0="800002BF" w:usb1="38CF7CFA" w:usb2="00000016" w:usb3="00000000" w:csb0="00040001" w:csb1="00000000"/>
    <w:embedRegular r:id="rId5" w:fontKey="{D11F66BB-CF18-4F70-A188-D9C911E36D00}"/>
  </w:font>
  <w:font w:name="仿宋_GB2312">
    <w:altName w:val="仿宋"/>
    <w:panose1 w:val="00000000000000000000"/>
    <w:charset w:val="86"/>
    <w:family w:val="auto"/>
    <w:pitch w:val="default"/>
    <w:sig w:usb0="00000000" w:usb1="00000000" w:usb2="00000000" w:usb3="00000000" w:csb0="00040000" w:csb1="00000000"/>
    <w:embedRegular r:id="rId6" w:fontKey="{F08EF25C-FC84-419A-A4B0-331D030799C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66"/>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66"/>
        <w:tab w:val="clear" w:pos="4153"/>
      </w:tabs>
    </w:pPr>
    <w:r>
      <w:pict>
        <v:shape id="_x0000_s2051" o:spid="_x0000_s2051"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C8F9CA"/>
    <w:multiLevelType w:val="singleLevel"/>
    <w:tmpl w:val="19C8F9CA"/>
    <w:lvl w:ilvl="0" w:tentative="0">
      <w:start w:val="6"/>
      <w:numFmt w:val="chineseCounting"/>
      <w:suff w:val="nothing"/>
      <w:lvlText w:val="%1、"/>
      <w:lvlJc w:val="left"/>
      <w:rPr>
        <w:rFonts w:hint="eastAsia"/>
      </w:rPr>
    </w:lvl>
  </w:abstractNum>
  <w:abstractNum w:abstractNumId="1">
    <w:nsid w:val="1A17C9DD"/>
    <w:multiLevelType w:val="singleLevel"/>
    <w:tmpl w:val="1A17C9DD"/>
    <w:lvl w:ilvl="0" w:tentative="0">
      <w:start w:val="3"/>
      <w:numFmt w:val="chineseCounting"/>
      <w:suff w:val="nothing"/>
      <w:lvlText w:val="（%1）"/>
      <w:lvlJc w:val="left"/>
      <w:rPr>
        <w:rFonts w:hint="eastAsia"/>
      </w:rPr>
    </w:lvl>
  </w:abstractNum>
  <w:abstractNum w:abstractNumId="2">
    <w:nsid w:val="2A656320"/>
    <w:multiLevelType w:val="singleLevel"/>
    <w:tmpl w:val="2A656320"/>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IyMWI5YWZiNjVmNGYzMjUyZjg2OWNjNmMxYThmMDEifQ=="/>
  </w:docVars>
  <w:rsids>
    <w:rsidRoot w:val="51750383"/>
    <w:rsid w:val="00003A34"/>
    <w:rsid w:val="00011826"/>
    <w:rsid w:val="00026F19"/>
    <w:rsid w:val="00066BB8"/>
    <w:rsid w:val="000742FA"/>
    <w:rsid w:val="000B3924"/>
    <w:rsid w:val="000B4B76"/>
    <w:rsid w:val="000D2B95"/>
    <w:rsid w:val="000D7666"/>
    <w:rsid w:val="00104AA0"/>
    <w:rsid w:val="00194B1A"/>
    <w:rsid w:val="001A413D"/>
    <w:rsid w:val="001D696F"/>
    <w:rsid w:val="001F08A7"/>
    <w:rsid w:val="0021356F"/>
    <w:rsid w:val="00237976"/>
    <w:rsid w:val="00270B9C"/>
    <w:rsid w:val="002949F6"/>
    <w:rsid w:val="002D1FF9"/>
    <w:rsid w:val="002E4D5B"/>
    <w:rsid w:val="002F0298"/>
    <w:rsid w:val="002F1087"/>
    <w:rsid w:val="003A77EA"/>
    <w:rsid w:val="003B59B8"/>
    <w:rsid w:val="003E64C1"/>
    <w:rsid w:val="00492225"/>
    <w:rsid w:val="00495050"/>
    <w:rsid w:val="004F22C0"/>
    <w:rsid w:val="00510095"/>
    <w:rsid w:val="0052677C"/>
    <w:rsid w:val="00546070"/>
    <w:rsid w:val="005504B6"/>
    <w:rsid w:val="00552D7B"/>
    <w:rsid w:val="005E322F"/>
    <w:rsid w:val="005F69F6"/>
    <w:rsid w:val="0063371A"/>
    <w:rsid w:val="00653356"/>
    <w:rsid w:val="00663D73"/>
    <w:rsid w:val="00677324"/>
    <w:rsid w:val="006B6ED5"/>
    <w:rsid w:val="006D011E"/>
    <w:rsid w:val="007708A3"/>
    <w:rsid w:val="007C0136"/>
    <w:rsid w:val="007D49BC"/>
    <w:rsid w:val="007D4A49"/>
    <w:rsid w:val="007E3E5C"/>
    <w:rsid w:val="0080266F"/>
    <w:rsid w:val="008A7DCE"/>
    <w:rsid w:val="008B7DFF"/>
    <w:rsid w:val="00917B09"/>
    <w:rsid w:val="00975092"/>
    <w:rsid w:val="009C3240"/>
    <w:rsid w:val="009C5A44"/>
    <w:rsid w:val="009D7EBE"/>
    <w:rsid w:val="009E4660"/>
    <w:rsid w:val="009E470C"/>
    <w:rsid w:val="00A42A92"/>
    <w:rsid w:val="00A9617C"/>
    <w:rsid w:val="00A97EFB"/>
    <w:rsid w:val="00AF16D0"/>
    <w:rsid w:val="00AF78D2"/>
    <w:rsid w:val="00B133C7"/>
    <w:rsid w:val="00B135DB"/>
    <w:rsid w:val="00B24D9C"/>
    <w:rsid w:val="00B34E44"/>
    <w:rsid w:val="00B603EB"/>
    <w:rsid w:val="00BF555D"/>
    <w:rsid w:val="00C033ED"/>
    <w:rsid w:val="00C25083"/>
    <w:rsid w:val="00CD5832"/>
    <w:rsid w:val="00D1447D"/>
    <w:rsid w:val="00D2497C"/>
    <w:rsid w:val="00D3176B"/>
    <w:rsid w:val="00D65C6D"/>
    <w:rsid w:val="00DA3143"/>
    <w:rsid w:val="00DB3FFC"/>
    <w:rsid w:val="00DC477B"/>
    <w:rsid w:val="00DC5F1E"/>
    <w:rsid w:val="00DE1AEE"/>
    <w:rsid w:val="00DE24C0"/>
    <w:rsid w:val="00E013DD"/>
    <w:rsid w:val="00E05B64"/>
    <w:rsid w:val="00E060F0"/>
    <w:rsid w:val="00E07303"/>
    <w:rsid w:val="00E4489C"/>
    <w:rsid w:val="00E7466B"/>
    <w:rsid w:val="00E85193"/>
    <w:rsid w:val="00E94766"/>
    <w:rsid w:val="00EB1945"/>
    <w:rsid w:val="00EF0E38"/>
    <w:rsid w:val="00EF292A"/>
    <w:rsid w:val="00F41E07"/>
    <w:rsid w:val="00F73857"/>
    <w:rsid w:val="00FA0177"/>
    <w:rsid w:val="00FE47EA"/>
    <w:rsid w:val="01227D26"/>
    <w:rsid w:val="027A1FFF"/>
    <w:rsid w:val="028311D2"/>
    <w:rsid w:val="028642E4"/>
    <w:rsid w:val="02AD2E45"/>
    <w:rsid w:val="05F310A8"/>
    <w:rsid w:val="061B33AB"/>
    <w:rsid w:val="06B95EB1"/>
    <w:rsid w:val="079E52B1"/>
    <w:rsid w:val="07A2624F"/>
    <w:rsid w:val="07C83E1B"/>
    <w:rsid w:val="085B1D6F"/>
    <w:rsid w:val="088017D6"/>
    <w:rsid w:val="0AC86ED2"/>
    <w:rsid w:val="0ADE6DDF"/>
    <w:rsid w:val="0CA91A44"/>
    <w:rsid w:val="0D764D13"/>
    <w:rsid w:val="1003797D"/>
    <w:rsid w:val="106F72F4"/>
    <w:rsid w:val="130608A8"/>
    <w:rsid w:val="130B2F3B"/>
    <w:rsid w:val="135348E6"/>
    <w:rsid w:val="135741CF"/>
    <w:rsid w:val="150A124F"/>
    <w:rsid w:val="15694F24"/>
    <w:rsid w:val="15876BC1"/>
    <w:rsid w:val="164853C5"/>
    <w:rsid w:val="18FA7505"/>
    <w:rsid w:val="1A0C4EAF"/>
    <w:rsid w:val="1BAB226E"/>
    <w:rsid w:val="1E940449"/>
    <w:rsid w:val="1F276D8B"/>
    <w:rsid w:val="1FF70627"/>
    <w:rsid w:val="20E770DE"/>
    <w:rsid w:val="21D54CB5"/>
    <w:rsid w:val="2280002D"/>
    <w:rsid w:val="234738BC"/>
    <w:rsid w:val="23FB206D"/>
    <w:rsid w:val="24A205A0"/>
    <w:rsid w:val="25511CA7"/>
    <w:rsid w:val="271D3CCC"/>
    <w:rsid w:val="278A74AF"/>
    <w:rsid w:val="28100720"/>
    <w:rsid w:val="28276604"/>
    <w:rsid w:val="2A4224D3"/>
    <w:rsid w:val="2AED047E"/>
    <w:rsid w:val="2CF43071"/>
    <w:rsid w:val="2D0411AD"/>
    <w:rsid w:val="2E6B64D7"/>
    <w:rsid w:val="2FF00BFE"/>
    <w:rsid w:val="2FF12B49"/>
    <w:rsid w:val="30BC7DFE"/>
    <w:rsid w:val="30C22315"/>
    <w:rsid w:val="30D715B9"/>
    <w:rsid w:val="31B94279"/>
    <w:rsid w:val="32C57CA9"/>
    <w:rsid w:val="32E50A6F"/>
    <w:rsid w:val="333F4FD6"/>
    <w:rsid w:val="337651BB"/>
    <w:rsid w:val="33B064E7"/>
    <w:rsid w:val="360D204B"/>
    <w:rsid w:val="36A55DE0"/>
    <w:rsid w:val="373F08BA"/>
    <w:rsid w:val="37EE5465"/>
    <w:rsid w:val="38030421"/>
    <w:rsid w:val="3B041C33"/>
    <w:rsid w:val="3B982D49"/>
    <w:rsid w:val="405A694A"/>
    <w:rsid w:val="40665A92"/>
    <w:rsid w:val="433D186A"/>
    <w:rsid w:val="44AF4753"/>
    <w:rsid w:val="44D679E6"/>
    <w:rsid w:val="44F03CA1"/>
    <w:rsid w:val="462C207A"/>
    <w:rsid w:val="470B07EE"/>
    <w:rsid w:val="47A53FE2"/>
    <w:rsid w:val="48111D26"/>
    <w:rsid w:val="4938307A"/>
    <w:rsid w:val="4AC52226"/>
    <w:rsid w:val="4B032D54"/>
    <w:rsid w:val="4C6F2D39"/>
    <w:rsid w:val="4CBB4158"/>
    <w:rsid w:val="4EB716BA"/>
    <w:rsid w:val="4FDF3672"/>
    <w:rsid w:val="507C775A"/>
    <w:rsid w:val="51403A91"/>
    <w:rsid w:val="51750383"/>
    <w:rsid w:val="51AA35AD"/>
    <w:rsid w:val="559F4616"/>
    <w:rsid w:val="55BC1931"/>
    <w:rsid w:val="56642E02"/>
    <w:rsid w:val="56E83C1C"/>
    <w:rsid w:val="59AD70AF"/>
    <w:rsid w:val="5BC33FA7"/>
    <w:rsid w:val="5CE00143"/>
    <w:rsid w:val="5EE412EC"/>
    <w:rsid w:val="5F5905F2"/>
    <w:rsid w:val="602D7CBC"/>
    <w:rsid w:val="61A209F1"/>
    <w:rsid w:val="62AF0893"/>
    <w:rsid w:val="63C33A87"/>
    <w:rsid w:val="65855C7B"/>
    <w:rsid w:val="670E4F40"/>
    <w:rsid w:val="68AC6363"/>
    <w:rsid w:val="69E60316"/>
    <w:rsid w:val="6BA25B26"/>
    <w:rsid w:val="6BF1132F"/>
    <w:rsid w:val="6C65150B"/>
    <w:rsid w:val="6E136DBE"/>
    <w:rsid w:val="6FD213F0"/>
    <w:rsid w:val="70105BD0"/>
    <w:rsid w:val="70357077"/>
    <w:rsid w:val="70EB50D8"/>
    <w:rsid w:val="725D4B26"/>
    <w:rsid w:val="72FD0086"/>
    <w:rsid w:val="73F137A7"/>
    <w:rsid w:val="74015467"/>
    <w:rsid w:val="755E4523"/>
    <w:rsid w:val="778F3505"/>
    <w:rsid w:val="77D02C71"/>
    <w:rsid w:val="7C8C2CA7"/>
    <w:rsid w:val="7E2554F5"/>
    <w:rsid w:val="7EAE5472"/>
    <w:rsid w:val="7F8F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name="toc 1"/>
    <w:lsdException w:qFormat="1"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semiHidden/>
    <w:unhideWhenUsed/>
    <w:qFormat/>
    <w:uiPriority w:val="0"/>
  </w:style>
  <w:style w:type="paragraph" w:styleId="6">
    <w:name w:val="toc 2"/>
    <w:basedOn w:val="1"/>
    <w:next w:val="1"/>
    <w:semiHidden/>
    <w:unhideWhenUsed/>
    <w:qFormat/>
    <w:uiPriority w:val="0"/>
    <w:pPr>
      <w:ind w:left="420" w:leftChars="200"/>
    </w:p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Emphasis"/>
    <w:basedOn w:val="10"/>
    <w:qFormat/>
    <w:uiPriority w:val="20"/>
    <w:rPr>
      <w:i/>
      <w:iCs/>
    </w:rPr>
  </w:style>
  <w:style w:type="character" w:styleId="13">
    <w:name w:val="Hyperlink"/>
    <w:basedOn w:val="10"/>
    <w:qFormat/>
    <w:uiPriority w:val="0"/>
    <w:rPr>
      <w:color w:val="0000FF"/>
      <w:u w:val="single"/>
    </w:rPr>
  </w:style>
  <w:style w:type="paragraph" w:customStyle="1" w:styleId="14">
    <w:name w:val="中等深浅网格 1 - 着色 21"/>
    <w:basedOn w:val="1"/>
    <w:qFormat/>
    <w:uiPriority w:val="0"/>
    <w:pPr>
      <w:spacing w:line="360" w:lineRule="auto"/>
      <w:ind w:firstLine="420" w:firstLineChars="200"/>
    </w:pPr>
    <w:rPr>
      <w:rFonts w:ascii="Calibri" w:hAnsi="Calibri" w:eastAsia="宋体"/>
    </w:rPr>
  </w:style>
  <w:style w:type="paragraph" w:styleId="1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1026"/>
    <customShpInfo spid="_x0000_s1029"/>
    <customShpInfo spid="_x0000_s1028"/>
    <customShpInfo spid="_x0000_s1030"/>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F10FE1-9B80-49D7-AB34-82B2C4B800E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1572</Words>
  <Characters>8963</Characters>
  <Lines>74</Lines>
  <Paragraphs>21</Paragraphs>
  <TotalTime>8</TotalTime>
  <ScaleCrop>false</ScaleCrop>
  <LinksUpToDate>false</LinksUpToDate>
  <CharactersWithSpaces>10514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2022-10-13T07:41:00Z</dcterms:created>
  <dc:creator>Administrator</dc:creator>
  <cp:lastModifiedBy>冯֒小֒米֒儿֒</cp:lastModifiedBy>
  <cp:lastPrinted>2019-07-08T06:10:00Z</cp:lastPrinted>
  <dcterms:modified xsi:type="dcterms:W3CDTF">2023-11-17T02:29:34Z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2846E8B5D75A46D985D9A9DCAA5C7D53</vt:lpwstr>
  </property>
</Properties>
</file>