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560" w:lineRule="exact"/>
        <w:ind w:firstLine="880" w:firstLineChars="200"/>
        <w:jc w:val="center"/>
        <w:outlineLvl w:val="0"/>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bookmarkStart w:id="0" w:name="_Toc398"/>
      <w:bookmarkStart w:id="1" w:name="_Toc21624"/>
      <w:bookmarkStart w:id="2" w:name="_Toc13783"/>
      <w:bookmarkStart w:id="3" w:name="_Toc11597"/>
      <w:bookmarkStart w:id="4" w:name="_Toc10769"/>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石家庄财经商贸学校</w:t>
      </w:r>
    </w:p>
    <w:p>
      <w:pPr>
        <w:spacing w:after="156" w:afterLines="50" w:line="560" w:lineRule="exact"/>
        <w:ind w:firstLine="880" w:firstLineChars="200"/>
        <w:jc w:val="center"/>
        <w:outlineLvl w:val="0"/>
        <w:rPr>
          <w:rFonts w:ascii="宋体" w:hAnsi="宋体" w:cs="宋体"/>
          <w:b/>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23级纳税</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事务专业人才培养方案</w:t>
      </w:r>
      <w:bookmarkEnd w:id="0"/>
      <w:bookmarkEnd w:id="1"/>
      <w:bookmarkEnd w:id="2"/>
      <w:bookmarkEnd w:id="3"/>
      <w:bookmarkEnd w:id="4"/>
    </w:p>
    <w:p>
      <w:pPr>
        <w:spacing w:line="560" w:lineRule="exact"/>
        <w:ind w:firstLine="640" w:firstLineChars="200"/>
        <w:jc w:val="left"/>
        <w:outlineLvl w:val="0"/>
        <w:rPr>
          <w:rFonts w:ascii="黑体" w:hAnsi="黑体" w:eastAsia="黑体" w:cs="黑体"/>
          <w:color w:val="000000" w:themeColor="text1"/>
          <w:sz w:val="32"/>
          <w:szCs w:val="32"/>
          <w14:textFill>
            <w14:solidFill>
              <w14:schemeClr w14:val="tx1"/>
            </w14:solidFill>
          </w14:textFill>
        </w:rPr>
      </w:pPr>
      <w:bookmarkStart w:id="5" w:name="_Toc21600"/>
      <w:bookmarkStart w:id="6" w:name="_Toc18664"/>
      <w:r>
        <w:rPr>
          <w:rFonts w:hint="eastAsia" w:ascii="黑体" w:hAnsi="黑体" w:eastAsia="黑体" w:cs="黑体"/>
          <w:color w:val="000000" w:themeColor="text1"/>
          <w:sz w:val="32"/>
          <w:szCs w:val="32"/>
          <w14:textFill>
            <w14:solidFill>
              <w14:schemeClr w14:val="tx1"/>
            </w14:solidFill>
          </w14:textFill>
        </w:rPr>
        <w:t>一、专业名称及代码</w:t>
      </w:r>
      <w:bookmarkEnd w:id="5"/>
      <w:bookmarkEnd w:id="6"/>
    </w:p>
    <w:p>
      <w:pPr>
        <w:spacing w:line="560" w:lineRule="exact"/>
        <w:ind w:firstLine="640" w:firstLineChars="200"/>
        <w:jc w:val="left"/>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专业名称：</w:t>
      </w:r>
      <w:r>
        <w:rPr>
          <w:rFonts w:hint="eastAsia" w:ascii="仿宋" w:hAnsi="仿宋" w:eastAsia="仿宋" w:cs="仿宋"/>
          <w:bCs/>
          <w:color w:val="000000" w:themeColor="text1"/>
          <w:sz w:val="32"/>
          <w:szCs w:val="32"/>
          <w:lang w:val="en-US" w:eastAsia="zh-CN"/>
          <w14:textFill>
            <w14:solidFill>
              <w14:schemeClr w14:val="tx1"/>
            </w14:solidFill>
          </w14:textFill>
        </w:rPr>
        <w:t>纳税</w:t>
      </w:r>
      <w:r>
        <w:rPr>
          <w:rFonts w:hint="eastAsia" w:ascii="仿宋" w:hAnsi="仿宋" w:eastAsia="仿宋" w:cs="仿宋"/>
          <w:bCs/>
          <w:color w:val="000000" w:themeColor="text1"/>
          <w:sz w:val="32"/>
          <w:szCs w:val="32"/>
          <w14:textFill>
            <w14:solidFill>
              <w14:schemeClr w14:val="tx1"/>
            </w14:solidFill>
          </w14:textFill>
        </w:rPr>
        <w:t>事务</w:t>
      </w:r>
    </w:p>
    <w:p>
      <w:pPr>
        <w:spacing w:line="560" w:lineRule="exact"/>
        <w:ind w:firstLine="640" w:firstLineChars="200"/>
        <w:jc w:val="left"/>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专业代码：</w:t>
      </w:r>
      <w:r>
        <w:rPr>
          <w:rFonts w:ascii="仿宋" w:hAnsi="仿宋" w:eastAsia="仿宋" w:cs="仿宋"/>
          <w:bCs/>
          <w:color w:val="000000" w:themeColor="text1"/>
          <w:sz w:val="32"/>
          <w:szCs w:val="32"/>
          <w14:textFill>
            <w14:solidFill>
              <w14:schemeClr w14:val="tx1"/>
            </w14:solidFill>
          </w14:textFill>
        </w:rPr>
        <w:t>730101</w:t>
      </w:r>
    </w:p>
    <w:p>
      <w:pPr>
        <w:spacing w:line="560" w:lineRule="exact"/>
        <w:ind w:firstLine="640" w:firstLineChars="200"/>
        <w:jc w:val="left"/>
        <w:outlineLvl w:val="0"/>
        <w:rPr>
          <w:rFonts w:ascii="黑体" w:hAnsi="黑体" w:eastAsia="黑体" w:cs="黑体"/>
          <w:color w:val="000000" w:themeColor="text1"/>
          <w:sz w:val="32"/>
          <w:szCs w:val="32"/>
          <w14:textFill>
            <w14:solidFill>
              <w14:schemeClr w14:val="tx1"/>
            </w14:solidFill>
          </w14:textFill>
        </w:rPr>
      </w:pPr>
      <w:bookmarkStart w:id="7" w:name="_Toc9277"/>
      <w:bookmarkStart w:id="8" w:name="_Toc30546"/>
      <w:r>
        <w:rPr>
          <w:rFonts w:hint="eastAsia" w:ascii="黑体" w:hAnsi="黑体" w:eastAsia="黑体" w:cs="黑体"/>
          <w:color w:val="000000" w:themeColor="text1"/>
          <w:sz w:val="32"/>
          <w:szCs w:val="32"/>
          <w14:textFill>
            <w14:solidFill>
              <w14:schemeClr w14:val="tx1"/>
            </w14:solidFill>
          </w14:textFill>
        </w:rPr>
        <w:t>二、入学要求</w:t>
      </w:r>
      <w:bookmarkEnd w:id="7"/>
      <w:bookmarkEnd w:id="8"/>
    </w:p>
    <w:p>
      <w:pPr>
        <w:spacing w:line="560" w:lineRule="exact"/>
        <w:ind w:firstLine="640" w:firstLineChars="200"/>
        <w:jc w:val="left"/>
        <w:rPr>
          <w:rFonts w:hint="eastAsia" w:ascii="仿宋" w:hAnsi="仿宋" w:eastAsia="仿宋" w:cs="仿宋"/>
          <w:bCs/>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本专业招收</w:t>
      </w:r>
      <w:r>
        <w:rPr>
          <w:rFonts w:hint="eastAsia" w:ascii="仿宋" w:hAnsi="仿宋" w:eastAsia="仿宋" w:cs="仿宋"/>
          <w:color w:val="000000" w:themeColor="text1"/>
          <w:sz w:val="32"/>
          <w:szCs w:val="32"/>
          <w14:textFill>
            <w14:solidFill>
              <w14:schemeClr w14:val="tx1"/>
            </w14:solidFill>
          </w14:textFill>
        </w:rPr>
        <w:t>初中毕业生或具有同等学力者</w:t>
      </w:r>
      <w:r>
        <w:rPr>
          <w:rFonts w:hint="eastAsia" w:ascii="仿宋" w:hAnsi="仿宋" w:eastAsia="仿宋" w:cs="仿宋"/>
          <w:color w:val="000000" w:themeColor="text1"/>
          <w:sz w:val="32"/>
          <w:szCs w:val="32"/>
          <w:lang w:eastAsia="zh-CN"/>
          <w14:textFill>
            <w14:solidFill>
              <w14:schemeClr w14:val="tx1"/>
            </w14:solidFill>
          </w14:textFill>
        </w:rPr>
        <w:t>。</w:t>
      </w:r>
    </w:p>
    <w:p>
      <w:pPr>
        <w:spacing w:line="560" w:lineRule="exact"/>
        <w:ind w:firstLine="640" w:firstLineChars="200"/>
        <w:jc w:val="left"/>
        <w:outlineLvl w:val="0"/>
        <w:rPr>
          <w:rFonts w:ascii="黑体" w:hAnsi="黑体" w:eastAsia="黑体" w:cs="黑体"/>
          <w:color w:val="000000" w:themeColor="text1"/>
          <w:sz w:val="32"/>
          <w:szCs w:val="32"/>
          <w14:textFill>
            <w14:solidFill>
              <w14:schemeClr w14:val="tx1"/>
            </w14:solidFill>
          </w14:textFill>
        </w:rPr>
      </w:pPr>
      <w:bookmarkStart w:id="9" w:name="_Toc31958"/>
      <w:bookmarkStart w:id="10" w:name="_Toc20511"/>
      <w:r>
        <w:rPr>
          <w:rFonts w:hint="eastAsia" w:ascii="黑体" w:hAnsi="黑体" w:eastAsia="黑体" w:cs="黑体"/>
          <w:color w:val="000000" w:themeColor="text1"/>
          <w:sz w:val="32"/>
          <w:szCs w:val="32"/>
          <w14:textFill>
            <w14:solidFill>
              <w14:schemeClr w14:val="tx1"/>
            </w14:solidFill>
          </w14:textFill>
        </w:rPr>
        <w:t>三、修业年限</w:t>
      </w:r>
      <w:bookmarkEnd w:id="9"/>
      <w:bookmarkEnd w:id="10"/>
    </w:p>
    <w:p>
      <w:pPr>
        <w:spacing w:line="560" w:lineRule="exact"/>
        <w:ind w:firstLine="640" w:firstLineChars="200"/>
        <w:jc w:val="left"/>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lang w:val="en-US" w:eastAsia="zh-CN"/>
          <w14:textFill>
            <w14:solidFill>
              <w14:schemeClr w14:val="tx1"/>
            </w14:solidFill>
          </w14:textFill>
        </w:rPr>
        <w:t>3</w:t>
      </w:r>
      <w:r>
        <w:rPr>
          <w:rFonts w:hint="eastAsia" w:ascii="仿宋" w:hAnsi="仿宋" w:eastAsia="仿宋" w:cs="仿宋"/>
          <w:bCs/>
          <w:color w:val="000000" w:themeColor="text1"/>
          <w:sz w:val="32"/>
          <w:szCs w:val="32"/>
          <w14:textFill>
            <w14:solidFill>
              <w14:schemeClr w14:val="tx1"/>
            </w14:solidFill>
          </w14:textFill>
        </w:rPr>
        <w:t>年</w:t>
      </w:r>
    </w:p>
    <w:p>
      <w:pPr>
        <w:spacing w:line="560" w:lineRule="exact"/>
        <w:ind w:firstLine="640" w:firstLineChars="200"/>
        <w:jc w:val="left"/>
        <w:outlineLvl w:val="0"/>
        <w:rPr>
          <w:rFonts w:hint="eastAsia" w:ascii="黑体" w:hAnsi="黑体" w:eastAsia="黑体" w:cs="黑体"/>
          <w:color w:val="000000" w:themeColor="text1"/>
          <w:sz w:val="32"/>
          <w:szCs w:val="32"/>
          <w14:textFill>
            <w14:solidFill>
              <w14:schemeClr w14:val="tx1"/>
            </w14:solidFill>
          </w14:textFill>
        </w:rPr>
      </w:pPr>
      <w:bookmarkStart w:id="11" w:name="_Toc23741"/>
      <w:bookmarkStart w:id="12" w:name="_Toc15542"/>
      <w:r>
        <w:rPr>
          <w:rFonts w:hint="eastAsia" w:ascii="黑体" w:hAnsi="黑体" w:eastAsia="黑体" w:cs="黑体"/>
          <w:color w:val="000000" w:themeColor="text1"/>
          <w:sz w:val="32"/>
          <w:szCs w:val="32"/>
          <w14:textFill>
            <w14:solidFill>
              <w14:schemeClr w14:val="tx1"/>
            </w14:solidFill>
          </w14:textFill>
        </w:rPr>
        <w:t>四、职业面向</w:t>
      </w:r>
      <w:bookmarkEnd w:id="11"/>
      <w:bookmarkEnd w:id="12"/>
    </w:p>
    <w:p>
      <w:pPr>
        <w:spacing w:line="560" w:lineRule="exact"/>
        <w:ind w:firstLine="640" w:firstLineChars="200"/>
        <w:jc w:val="left"/>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纳税事务专业职业面向分析表见表1-1。</w:t>
      </w:r>
    </w:p>
    <w:p>
      <w:pPr>
        <w:spacing w:line="560" w:lineRule="exact"/>
        <w:jc w:val="left"/>
        <w:rPr>
          <w:rFonts w:hint="default"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表1-1           纳税事务专业职业面向分析表</w:t>
      </w:r>
    </w:p>
    <w:tbl>
      <w:tblPr>
        <w:tblStyle w:val="11"/>
        <w:tblW w:w="86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5"/>
        <w:gridCol w:w="6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805" w:type="dxa"/>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所属专业大类</w:t>
            </w:r>
          </w:p>
        </w:tc>
        <w:tc>
          <w:tcPr>
            <w:tcW w:w="6854" w:type="dxa"/>
            <w:vAlign w:val="center"/>
          </w:tcPr>
          <w:p>
            <w:pPr>
              <w:keepNext w:val="0"/>
              <w:keepLines w:val="0"/>
              <w:pageBreakBefore w:val="0"/>
              <w:kinsoku/>
              <w:wordWrap/>
              <w:overflowPunct/>
              <w:topLinePunct w:val="0"/>
              <w:autoSpaceDE/>
              <w:autoSpaceDN/>
              <w:bidi w:val="0"/>
              <w:adjustRightInd/>
              <w:spacing w:line="400" w:lineRule="exact"/>
              <w:textAlignment w:val="auto"/>
              <w:rPr>
                <w:rFonts w:hint="eastAsia" w:ascii="仿宋" w:hAnsi="仿宋" w:eastAsia="仿宋" w:cs="仿宋"/>
                <w:b/>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财经商贸类</w:t>
            </w:r>
            <w:r>
              <w:rPr>
                <w:rFonts w:hint="eastAsia" w:ascii="仿宋" w:hAnsi="仿宋" w:eastAsia="仿宋" w:cs="仿宋"/>
                <w:bCs/>
                <w:color w:val="000000" w:themeColor="text1"/>
                <w:kern w:val="0"/>
                <w:sz w:val="24"/>
                <w:szCs w:val="24"/>
                <w:lang w:eastAsia="zh-CN"/>
                <w14:textFill>
                  <w14:solidFill>
                    <w14:schemeClr w14:val="tx1"/>
                  </w14:solidFill>
                </w14:textFill>
              </w:rPr>
              <w:t>（</w:t>
            </w:r>
            <w:r>
              <w:rPr>
                <w:rFonts w:hint="eastAsia" w:ascii="仿宋" w:hAnsi="仿宋" w:eastAsia="仿宋" w:cs="仿宋"/>
                <w:bCs/>
                <w:color w:val="000000" w:themeColor="text1"/>
                <w:kern w:val="0"/>
                <w:sz w:val="24"/>
                <w:szCs w:val="24"/>
                <w14:textFill>
                  <w14:solidFill>
                    <w14:schemeClr w14:val="tx1"/>
                  </w14:solidFill>
                </w14:textFill>
              </w:rPr>
              <w:t>73</w:t>
            </w:r>
            <w:r>
              <w:rPr>
                <w:rFonts w:hint="eastAsia" w:ascii="仿宋" w:hAnsi="仿宋" w:eastAsia="仿宋" w:cs="仿宋"/>
                <w:bCs/>
                <w:color w:val="000000" w:themeColor="text1"/>
                <w:kern w:val="0"/>
                <w:sz w:val="24"/>
                <w:szCs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805" w:type="dxa"/>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所属专业类</w:t>
            </w:r>
          </w:p>
        </w:tc>
        <w:tc>
          <w:tcPr>
            <w:tcW w:w="6854" w:type="dxa"/>
            <w:vAlign w:val="center"/>
          </w:tcPr>
          <w:p>
            <w:pPr>
              <w:spacing w:line="400" w:lineRule="exact"/>
              <w:rPr>
                <w:rFonts w:hint="eastAsia" w:ascii="仿宋" w:hAnsi="仿宋" w:eastAsia="仿宋" w:cs="仿宋"/>
                <w:bCs/>
                <w:color w:val="000000" w:themeColor="text1"/>
                <w:kern w:val="0"/>
                <w:sz w:val="24"/>
                <w:szCs w:val="24"/>
                <w:lang w:eastAsia="zh-CN"/>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财政税务类</w:t>
            </w:r>
            <w:r>
              <w:rPr>
                <w:rFonts w:hint="eastAsia" w:ascii="仿宋" w:hAnsi="仿宋" w:eastAsia="仿宋" w:cs="仿宋"/>
                <w:bCs/>
                <w:color w:val="000000" w:themeColor="text1"/>
                <w:kern w:val="0"/>
                <w:sz w:val="24"/>
                <w:szCs w:val="24"/>
                <w:lang w:eastAsia="zh-CN"/>
                <w14:textFill>
                  <w14:solidFill>
                    <w14:schemeClr w14:val="tx1"/>
                  </w14:solidFill>
                </w14:textFill>
              </w:rPr>
              <w:t>（</w:t>
            </w:r>
            <w:r>
              <w:rPr>
                <w:rFonts w:hint="eastAsia" w:ascii="仿宋" w:hAnsi="仿宋" w:eastAsia="仿宋" w:cs="仿宋"/>
                <w:bCs/>
                <w:color w:val="000000" w:themeColor="text1"/>
                <w:kern w:val="0"/>
                <w:sz w:val="24"/>
                <w:szCs w:val="24"/>
                <w14:textFill>
                  <w14:solidFill>
                    <w14:schemeClr w14:val="tx1"/>
                  </w14:solidFill>
                </w14:textFill>
              </w:rPr>
              <w:t>7301</w:t>
            </w:r>
            <w:r>
              <w:rPr>
                <w:rFonts w:hint="eastAsia" w:ascii="仿宋" w:hAnsi="仿宋" w:eastAsia="仿宋" w:cs="仿宋"/>
                <w:bCs/>
                <w:color w:val="000000" w:themeColor="text1"/>
                <w:kern w:val="0"/>
                <w:sz w:val="24"/>
                <w:szCs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805" w:type="dxa"/>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 w:hAnsi="仿宋" w:eastAsia="仿宋" w:cs="仿宋"/>
                <w:bCs/>
                <w:color w:val="000000" w:themeColor="text1"/>
                <w:kern w:val="0"/>
                <w:sz w:val="24"/>
                <w:szCs w:val="24"/>
                <w:lang w:val="en-US" w:eastAsia="zh-CN"/>
                <w14:textFill>
                  <w14:solidFill>
                    <w14:schemeClr w14:val="tx1"/>
                  </w14:solidFill>
                </w14:textFill>
              </w:rPr>
            </w:pPr>
            <w:r>
              <w:rPr>
                <w:rFonts w:hint="eastAsia" w:ascii="仿宋" w:hAnsi="仿宋" w:eastAsia="仿宋" w:cs="仿宋"/>
                <w:bCs/>
                <w:color w:val="000000" w:themeColor="text1"/>
                <w:kern w:val="0"/>
                <w:sz w:val="24"/>
                <w:szCs w:val="24"/>
                <w:lang w:val="en-US" w:eastAsia="zh-CN"/>
                <w14:textFill>
                  <w14:solidFill>
                    <w14:schemeClr w14:val="tx1"/>
                  </w14:solidFill>
                </w14:textFill>
              </w:rPr>
              <w:t>对应行业</w:t>
            </w:r>
          </w:p>
        </w:tc>
        <w:tc>
          <w:tcPr>
            <w:tcW w:w="6854" w:type="dxa"/>
            <w:vAlign w:val="center"/>
          </w:tcPr>
          <w:p>
            <w:pPr>
              <w:keepNext w:val="0"/>
              <w:keepLines w:val="0"/>
              <w:pageBreakBefore w:val="0"/>
              <w:kinsoku/>
              <w:wordWrap/>
              <w:overflowPunct/>
              <w:topLinePunct w:val="0"/>
              <w:autoSpaceDE/>
              <w:autoSpaceDN/>
              <w:bidi w:val="0"/>
              <w:adjustRightInd/>
              <w:snapToGrid w:val="0"/>
              <w:spacing w:line="400" w:lineRule="exact"/>
              <w:textAlignment w:val="auto"/>
              <w:rPr>
                <w:rFonts w:hint="eastAsia"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lang w:val="en-US" w:eastAsia="zh-CN"/>
                <w14:textFill>
                  <w14:solidFill>
                    <w14:schemeClr w14:val="tx1"/>
                  </w14:solidFill>
                </w14:textFill>
              </w:rPr>
              <w:t>会计、审计及税务服务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805" w:type="dxa"/>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主要</w:t>
            </w:r>
            <w:r>
              <w:rPr>
                <w:rFonts w:hint="eastAsia" w:ascii="仿宋" w:hAnsi="仿宋" w:eastAsia="仿宋" w:cs="仿宋"/>
                <w:bCs/>
                <w:color w:val="000000" w:themeColor="text1"/>
                <w:kern w:val="0"/>
                <w:sz w:val="24"/>
                <w:szCs w:val="24"/>
                <w:lang w:val="en-US" w:eastAsia="zh-CN"/>
                <w14:textFill>
                  <w14:solidFill>
                    <w14:schemeClr w14:val="tx1"/>
                  </w14:solidFill>
                </w14:textFill>
              </w:rPr>
              <w:t>职业</w:t>
            </w:r>
            <w:r>
              <w:rPr>
                <w:rFonts w:hint="eastAsia" w:ascii="仿宋" w:hAnsi="仿宋" w:eastAsia="仿宋" w:cs="仿宋"/>
                <w:bCs/>
                <w:color w:val="000000" w:themeColor="text1"/>
                <w:kern w:val="0"/>
                <w:sz w:val="24"/>
                <w:szCs w:val="24"/>
                <w14:textFill>
                  <w14:solidFill>
                    <w14:schemeClr w14:val="tx1"/>
                  </w14:solidFill>
                </w14:textFill>
              </w:rPr>
              <w:t>类别</w:t>
            </w:r>
          </w:p>
        </w:tc>
        <w:tc>
          <w:tcPr>
            <w:tcW w:w="6854" w:type="dxa"/>
            <w:vAlign w:val="center"/>
          </w:tcPr>
          <w:p>
            <w:pPr>
              <w:keepNext w:val="0"/>
              <w:keepLines w:val="0"/>
              <w:widowControl/>
              <w:suppressLineNumbers w:val="0"/>
              <w:jc w:val="left"/>
              <w:rPr>
                <w:rFonts w:hint="eastAsia" w:ascii="仿宋" w:hAnsi="仿宋" w:eastAsia="仿宋" w:cs="仿宋"/>
                <w:color w:val="FF0000"/>
                <w:sz w:val="24"/>
                <w:szCs w:val="24"/>
                <w:lang w:val="en-US" w:eastAsia="zh-CN" w:bidi="ar-SA"/>
              </w:rPr>
            </w:pPr>
            <w:r>
              <w:rPr>
                <w:rFonts w:hint="eastAsia" w:ascii="仿宋" w:hAnsi="仿宋" w:eastAsia="仿宋" w:cs="仿宋"/>
                <w:color w:val="000000" w:themeColor="text1"/>
                <w:sz w:val="24"/>
                <w:szCs w:val="24"/>
                <w:lang w:val="en-US" w:eastAsia="zh-CN"/>
                <w14:textFill>
                  <w14:solidFill>
                    <w14:schemeClr w14:val="tx1"/>
                  </w14:solidFill>
                </w14:textFill>
              </w:rPr>
              <w:t>会计专业人员（2-06-03-00）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80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仿宋" w:hAnsi="仿宋" w:eastAsia="仿宋" w:cs="仿宋"/>
                <w:bCs/>
                <w:color w:val="000000" w:themeColor="text1"/>
                <w:kern w:val="0"/>
                <w:sz w:val="24"/>
                <w:szCs w:val="24"/>
                <w:lang w:val="en-US" w:eastAsia="zh-CN"/>
                <w14:textFill>
                  <w14:solidFill>
                    <w14:schemeClr w14:val="tx1"/>
                  </w14:solidFill>
                </w14:textFill>
              </w:rPr>
            </w:pPr>
            <w:r>
              <w:rPr>
                <w:rFonts w:hint="eastAsia" w:ascii="仿宋" w:hAnsi="仿宋" w:eastAsia="仿宋" w:cs="仿宋"/>
                <w:bCs/>
                <w:color w:val="000000" w:themeColor="text1"/>
                <w:kern w:val="0"/>
                <w:sz w:val="24"/>
                <w:szCs w:val="24"/>
                <w:lang w:val="en-US" w:eastAsia="zh-CN"/>
                <w14:textFill>
                  <w14:solidFill>
                    <w14:schemeClr w14:val="tx1"/>
                  </w14:solidFill>
                </w14:textFill>
              </w:rPr>
              <w:t>主要岗位（群）</w:t>
            </w:r>
          </w:p>
        </w:tc>
        <w:tc>
          <w:tcPr>
            <w:tcW w:w="6854" w:type="dxa"/>
            <w:vAlign w:val="center"/>
          </w:tcPr>
          <w:p>
            <w:pPr>
              <w:keepNext w:val="0"/>
              <w:keepLines w:val="0"/>
              <w:widowControl/>
              <w:suppressLineNumbers w:val="0"/>
              <w:jc w:val="left"/>
              <w:rPr>
                <w:rFonts w:hint="eastAsia" w:ascii="仿宋" w:hAnsi="仿宋" w:eastAsia="仿宋" w:cs="仿宋"/>
                <w:color w:val="000000" w:themeColor="text1"/>
                <w:sz w:val="24"/>
                <w:szCs w:val="24"/>
                <w:lang w:val="en-US"/>
                <w14:textFill>
                  <w14:solidFill>
                    <w14:schemeClr w14:val="tx1"/>
                  </w14:solidFill>
                </w14:textFill>
              </w:rPr>
            </w:pPr>
            <w:r>
              <w:rPr>
                <w:rFonts w:hint="eastAsia" w:ascii="仿宋" w:hAnsi="仿宋" w:eastAsia="仿宋" w:cs="仿宋"/>
                <w:color w:val="000000"/>
                <w:kern w:val="0"/>
                <w:sz w:val="24"/>
                <w:szCs w:val="24"/>
                <w:lang w:val="en-US" w:eastAsia="zh-CN" w:bidi="ar"/>
              </w:rPr>
              <w:t xml:space="preserve">企事业单位税费核算、智能申报、税务代理、税务咨询、纳税筹划等岗位群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6" w:hRule="atLeast"/>
          <w:jc w:val="center"/>
        </w:trPr>
        <w:tc>
          <w:tcPr>
            <w:tcW w:w="1805" w:type="dxa"/>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 w:hAnsi="仿宋" w:eastAsia="仿宋" w:cs="仿宋"/>
                <w:b/>
                <w:bCs/>
                <w:color w:val="000000" w:themeColor="text1"/>
                <w:sz w:val="24"/>
                <w:szCs w:val="24"/>
                <w:lang w:val="en-US" w:eastAsia="zh-CN"/>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职业资格</w:t>
            </w:r>
            <w:r>
              <w:rPr>
                <w:rFonts w:hint="eastAsia" w:ascii="仿宋" w:hAnsi="仿宋" w:eastAsia="仿宋" w:cs="仿宋"/>
                <w:bCs/>
                <w:color w:val="000000" w:themeColor="text1"/>
                <w:kern w:val="0"/>
                <w:sz w:val="24"/>
                <w:szCs w:val="24"/>
                <w:lang w:val="en-US" w:eastAsia="zh-CN"/>
                <w14:textFill>
                  <w14:solidFill>
                    <w14:schemeClr w14:val="tx1"/>
                  </w14:solidFill>
                </w14:textFill>
              </w:rPr>
              <w:t>/职业</w:t>
            </w:r>
            <w:r>
              <w:rPr>
                <w:rFonts w:hint="eastAsia" w:ascii="仿宋" w:hAnsi="仿宋" w:eastAsia="仿宋" w:cs="仿宋"/>
                <w:bCs/>
                <w:color w:val="000000" w:themeColor="text1"/>
                <w:kern w:val="0"/>
                <w:sz w:val="24"/>
                <w:szCs w:val="24"/>
                <w14:textFill>
                  <w14:solidFill>
                    <w14:schemeClr w14:val="tx1"/>
                  </w14:solidFill>
                </w14:textFill>
              </w:rPr>
              <w:t>技能证书</w:t>
            </w:r>
            <w:r>
              <w:rPr>
                <w:rFonts w:hint="eastAsia" w:ascii="仿宋" w:hAnsi="仿宋" w:eastAsia="仿宋" w:cs="仿宋"/>
                <w:bCs/>
                <w:color w:val="000000" w:themeColor="text1"/>
                <w:kern w:val="0"/>
                <w:sz w:val="24"/>
                <w:szCs w:val="24"/>
                <w:lang w:val="en-US" w:eastAsia="zh-CN"/>
                <w14:textFill>
                  <w14:solidFill>
                    <w14:schemeClr w14:val="tx1"/>
                  </w14:solidFill>
                </w14:textFill>
              </w:rPr>
              <w:t>举例</w:t>
            </w:r>
          </w:p>
        </w:tc>
        <w:tc>
          <w:tcPr>
            <w:tcW w:w="6854"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计算机等级证书</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一级</w:t>
            </w:r>
            <w:r>
              <w:rPr>
                <w:rFonts w:hint="eastAsia" w:ascii="仿宋" w:hAnsi="仿宋" w:eastAsia="仿宋" w:cs="仿宋"/>
                <w:color w:val="000000" w:themeColor="text1"/>
                <w:sz w:val="24"/>
                <w:szCs w:val="24"/>
                <w:lang w:eastAsia="zh-CN"/>
                <w14:textFill>
                  <w14:solidFill>
                    <w14:schemeClr w14:val="tx1"/>
                  </w14:solidFill>
                </w14:textFill>
              </w:rPr>
              <w:t>）</w:t>
            </w:r>
          </w:p>
          <w:p>
            <w:pPr>
              <w:pStyle w:val="2"/>
              <w:keepNext w:val="0"/>
              <w:keepLines w:val="0"/>
              <w:pageBreakBefore w:val="0"/>
              <w:kinsoku/>
              <w:wordWrap/>
              <w:overflowPunct/>
              <w:topLinePunct w:val="0"/>
              <w:autoSpaceDE/>
              <w:autoSpaceDN/>
              <w:bidi w:val="0"/>
              <w:adjustRightInd/>
              <w:snapToGrid/>
              <w:spacing w:line="400" w:lineRule="exact"/>
              <w:ind w:left="0" w:leftChars="0" w:firstLine="0" w:firstLineChars="0"/>
              <w:textAlignment w:val="auto"/>
              <w:rPr>
                <w:rFonts w:hint="eastAsia" w:ascii="仿宋" w:hAnsi="仿宋" w:eastAsia="仿宋" w:cs="仿宋"/>
                <w:sz w:val="24"/>
                <w:szCs w:val="24"/>
                <w:lang w:eastAsia="zh-CN"/>
              </w:rPr>
            </w:pPr>
            <w:bookmarkStart w:id="13" w:name="_Toc29405"/>
            <w:bookmarkStart w:id="14" w:name="_Toc14137"/>
            <w:bookmarkStart w:id="15" w:name="_Toc30533"/>
            <w:bookmarkStart w:id="16" w:name="_Toc7422"/>
            <w:r>
              <w:rPr>
                <w:rFonts w:hint="eastAsia" w:ascii="仿宋" w:hAnsi="仿宋" w:eastAsia="仿宋" w:cs="仿宋"/>
                <w:color w:val="000000" w:themeColor="text1"/>
                <w:sz w:val="24"/>
                <w:szCs w:val="24"/>
                <w14:textFill>
                  <w14:solidFill>
                    <w14:schemeClr w14:val="tx1"/>
                  </w14:solidFill>
                </w14:textFill>
              </w:rPr>
              <w:t>普通话证书</w:t>
            </w:r>
            <w:bookmarkEnd w:id="13"/>
            <w:bookmarkEnd w:id="14"/>
            <w:bookmarkEnd w:id="15"/>
            <w:bookmarkEnd w:id="16"/>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财务共享服务</w:t>
            </w:r>
            <w:r>
              <w:rPr>
                <w:rFonts w:hint="eastAsia" w:ascii="仿宋" w:hAnsi="仿宋" w:eastAsia="仿宋" w:cs="仿宋"/>
                <w:color w:val="000000"/>
                <w:kern w:val="0"/>
                <w:sz w:val="24"/>
                <w:szCs w:val="24"/>
                <w:lang w:bidi="ar"/>
              </w:rPr>
              <w:t>职业技能等级</w:t>
            </w:r>
            <w:r>
              <w:rPr>
                <w:rFonts w:hint="eastAsia" w:ascii="仿宋" w:hAnsi="仿宋" w:eastAsia="仿宋" w:cs="仿宋"/>
                <w:color w:val="000000" w:themeColor="text1"/>
                <w:sz w:val="24"/>
                <w:szCs w:val="24"/>
                <w14:textFill>
                  <w14:solidFill>
                    <w14:schemeClr w14:val="tx1"/>
                  </w14:solidFill>
                </w14:textFill>
              </w:rPr>
              <w:t>证书</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初级</w:t>
            </w:r>
            <w:r>
              <w:rPr>
                <w:rFonts w:hint="eastAsia" w:ascii="仿宋" w:hAnsi="仿宋" w:eastAsia="仿宋" w:cs="仿宋"/>
                <w:color w:val="000000" w:themeColor="text1"/>
                <w:sz w:val="24"/>
                <w:szCs w:val="24"/>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财务数字化应用</w:t>
            </w:r>
            <w:r>
              <w:rPr>
                <w:rFonts w:hint="eastAsia" w:ascii="仿宋" w:hAnsi="仿宋" w:eastAsia="仿宋" w:cs="仿宋"/>
                <w:color w:val="000000"/>
                <w:kern w:val="0"/>
                <w:sz w:val="24"/>
                <w:szCs w:val="24"/>
                <w:lang w:bidi="ar"/>
              </w:rPr>
              <w:t>职业技能等级</w:t>
            </w:r>
            <w:r>
              <w:rPr>
                <w:rFonts w:hint="eastAsia" w:ascii="仿宋" w:hAnsi="仿宋" w:eastAsia="仿宋" w:cs="仿宋"/>
                <w:color w:val="000000" w:themeColor="text1"/>
                <w:sz w:val="24"/>
                <w:szCs w:val="24"/>
                <w14:textFill>
                  <w14:solidFill>
                    <w14:schemeClr w14:val="tx1"/>
                  </w14:solidFill>
                </w14:textFill>
              </w:rPr>
              <w:t>证书</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初级</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kern w:val="0"/>
                <w:sz w:val="24"/>
                <w:szCs w:val="24"/>
                <w:lang w:bidi="ar"/>
              </w:rPr>
              <w:t xml:space="preserve"> </w:t>
            </w:r>
          </w:p>
        </w:tc>
      </w:tr>
    </w:tbl>
    <w:p>
      <w:pPr>
        <w:spacing w:line="560" w:lineRule="exact"/>
        <w:ind w:firstLine="640" w:firstLineChars="200"/>
        <w:jc w:val="left"/>
        <w:outlineLvl w:val="0"/>
        <w:rPr>
          <w:rFonts w:ascii="黑体" w:hAnsi="黑体" w:eastAsia="黑体" w:cs="黑体"/>
          <w:color w:val="000000" w:themeColor="text1"/>
          <w:sz w:val="32"/>
          <w:szCs w:val="32"/>
          <w14:textFill>
            <w14:solidFill>
              <w14:schemeClr w14:val="tx1"/>
            </w14:solidFill>
          </w14:textFill>
        </w:rPr>
      </w:pPr>
      <w:bookmarkStart w:id="17" w:name="_Toc12049"/>
      <w:bookmarkStart w:id="18" w:name="_Toc4171"/>
      <w:r>
        <w:rPr>
          <w:rFonts w:hint="eastAsia" w:ascii="黑体" w:hAnsi="黑体" w:eastAsia="黑体" w:cs="黑体"/>
          <w:color w:val="000000" w:themeColor="text1"/>
          <w:sz w:val="32"/>
          <w:szCs w:val="32"/>
          <w14:textFill>
            <w14:solidFill>
              <w14:schemeClr w14:val="tx1"/>
            </w14:solidFill>
          </w14:textFill>
        </w:rPr>
        <w:t>五、培养目标</w:t>
      </w:r>
      <w:bookmarkEnd w:id="17"/>
      <w:bookmarkEnd w:id="18"/>
    </w:p>
    <w:p>
      <w:pPr>
        <w:spacing w:line="560" w:lineRule="exact"/>
        <w:ind w:firstLine="640" w:firstLineChars="200"/>
        <w:jc w:val="left"/>
        <w:rPr>
          <w:rFonts w:ascii="Times New Roman" w:hAnsi="Times New Roman"/>
          <w:color w:val="000000"/>
          <w:kern w:val="0"/>
          <w:sz w:val="24"/>
          <w:szCs w:val="24"/>
          <w:lang w:bidi="ar"/>
        </w:rPr>
      </w:pPr>
      <w:r>
        <w:rPr>
          <w:rFonts w:hint="eastAsia" w:ascii="仿宋" w:hAnsi="仿宋" w:eastAsia="仿宋" w:cs="仿宋"/>
          <w:bCs/>
          <w:color w:val="000000" w:themeColor="text1"/>
          <w:sz w:val="32"/>
          <w:szCs w:val="32"/>
          <w14:textFill>
            <w14:solidFill>
              <w14:schemeClr w14:val="tx1"/>
            </w14:solidFill>
          </w14:textFill>
        </w:rPr>
        <w:t>本专业培养德智体美劳全面发展，掌握扎实的科学文化基础和财经法律法规、企业经营与会计管理知识，具备会计核算与监督、财税咨询与服务、财务数据分析与应用等能力，具有工匠精神和信息素养，能够从事企事业单位出纳、会计与财税代理服务、会计信息系统实施等工作的技术技能人才。</w:t>
      </w:r>
      <w:r>
        <w:rPr>
          <w:rFonts w:ascii="Times New Roman" w:hAnsi="Times New Roman"/>
          <w:color w:val="000000"/>
          <w:kern w:val="0"/>
          <w:sz w:val="24"/>
          <w:szCs w:val="24"/>
          <w:lang w:bidi="ar"/>
        </w:rPr>
        <w:t xml:space="preserve"> </w:t>
      </w:r>
    </w:p>
    <w:p>
      <w:pPr>
        <w:spacing w:line="560" w:lineRule="exact"/>
        <w:ind w:firstLine="640" w:firstLineChars="200"/>
        <w:jc w:val="left"/>
        <w:outlineLvl w:val="0"/>
        <w:rPr>
          <w:rFonts w:hint="eastAsia" w:ascii="楷体" w:hAnsi="楷体" w:eastAsia="楷体" w:cs="楷体"/>
          <w:color w:val="000000" w:themeColor="text1"/>
          <w:sz w:val="32"/>
          <w:szCs w:val="32"/>
          <w14:textFill>
            <w14:solidFill>
              <w14:schemeClr w14:val="tx1"/>
            </w14:solidFill>
          </w14:textFill>
        </w:rPr>
      </w:pPr>
      <w:bookmarkStart w:id="19" w:name="_Toc1409"/>
      <w:bookmarkStart w:id="20" w:name="_Toc4434"/>
      <w:r>
        <w:rPr>
          <w:rFonts w:hint="eastAsia" w:ascii="黑体" w:hAnsi="黑体" w:eastAsia="黑体" w:cs="黑体"/>
          <w:color w:val="000000" w:themeColor="text1"/>
          <w:sz w:val="32"/>
          <w:szCs w:val="32"/>
          <w:lang w:val="en-US" w:eastAsia="zh-CN"/>
          <w14:textFill>
            <w14:solidFill>
              <w14:schemeClr w14:val="tx1"/>
            </w14:solidFill>
          </w14:textFill>
        </w:rPr>
        <w:t>六</w:t>
      </w:r>
      <w:r>
        <w:rPr>
          <w:rFonts w:hint="eastAsia" w:ascii="黑体" w:hAnsi="黑体" w:eastAsia="黑体" w:cs="黑体"/>
          <w:color w:val="000000" w:themeColor="text1"/>
          <w:sz w:val="32"/>
          <w:szCs w:val="32"/>
          <w14:textFill>
            <w14:solidFill>
              <w14:schemeClr w14:val="tx1"/>
            </w14:solidFill>
          </w14:textFill>
        </w:rPr>
        <w:t>、培养规格</w:t>
      </w:r>
      <w:bookmarkEnd w:id="19"/>
      <w:bookmarkEnd w:id="20"/>
    </w:p>
    <w:p>
      <w:pPr>
        <w:spacing w:line="560" w:lineRule="exact"/>
        <w:ind w:firstLine="643" w:firstLineChars="200"/>
        <w:jc w:val="left"/>
        <w:outlineLvl w:val="1"/>
        <w:rPr>
          <w:rFonts w:hint="eastAsia" w:ascii="楷体" w:hAnsi="楷体" w:eastAsia="楷体" w:cs="楷体"/>
          <w:b/>
          <w:bCs/>
          <w:color w:val="000000" w:themeColor="text1"/>
          <w:sz w:val="32"/>
          <w:szCs w:val="32"/>
          <w14:textFill>
            <w14:solidFill>
              <w14:schemeClr w14:val="tx1"/>
            </w14:solidFill>
          </w14:textFill>
        </w:rPr>
      </w:pPr>
      <w:bookmarkStart w:id="21" w:name="_Toc13629"/>
      <w:bookmarkStart w:id="22" w:name="_Toc28457"/>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楷体" w:hAnsi="楷体" w:eastAsia="楷体" w:cs="楷体"/>
          <w:b/>
          <w:bCs/>
          <w:color w:val="000000" w:themeColor="text1"/>
          <w:sz w:val="32"/>
          <w:szCs w:val="32"/>
          <w:lang w:val="en-US" w:eastAsia="zh-CN"/>
          <w14:textFill>
            <w14:solidFill>
              <w14:schemeClr w14:val="tx1"/>
            </w14:solidFill>
          </w14:textFill>
        </w:rPr>
        <w:t>一</w:t>
      </w:r>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楷体" w:hAnsi="楷体" w:eastAsia="楷体" w:cs="楷体"/>
          <w:b/>
          <w:bCs/>
          <w:color w:val="000000" w:themeColor="text1"/>
          <w:sz w:val="32"/>
          <w:szCs w:val="32"/>
          <w14:textFill>
            <w14:solidFill>
              <w14:schemeClr w14:val="tx1"/>
            </w14:solidFill>
          </w14:textFill>
        </w:rPr>
        <w:t>素质</w:t>
      </w:r>
      <w:bookmarkEnd w:id="21"/>
      <w:bookmarkEnd w:id="22"/>
    </w:p>
    <w:p>
      <w:pPr>
        <w:spacing w:line="560" w:lineRule="exact"/>
        <w:ind w:firstLine="640" w:firstLineChars="200"/>
        <w:jc w:val="left"/>
        <w:rPr>
          <w:rFonts w:hint="eastAsia" w:ascii="仿宋" w:hAnsi="仿宋" w:eastAsia="仿宋" w:cs="仿宋"/>
          <w:bCs/>
          <w:color w:val="000000" w:themeColor="text1"/>
          <w:sz w:val="32"/>
          <w:szCs w:val="32"/>
          <w:lang w:eastAsia="zh-CN"/>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1.践行社会主义核心价值观，具有深厚的爱国情感和中华民族自豪感</w:t>
      </w:r>
      <w:r>
        <w:rPr>
          <w:rFonts w:hint="eastAsia" w:ascii="仿宋" w:hAnsi="仿宋" w:eastAsia="仿宋" w:cs="仿宋"/>
          <w:bCs/>
          <w:color w:val="000000" w:themeColor="text1"/>
          <w:sz w:val="32"/>
          <w:szCs w:val="32"/>
          <w:lang w:eastAsia="zh-CN"/>
          <w14:textFill>
            <w14:solidFill>
              <w14:schemeClr w14:val="tx1"/>
            </w14:solidFill>
          </w14:textFill>
        </w:rPr>
        <w:t>；</w:t>
      </w:r>
    </w:p>
    <w:p>
      <w:pPr>
        <w:spacing w:line="560" w:lineRule="exact"/>
        <w:ind w:firstLine="640" w:firstLineChars="200"/>
        <w:jc w:val="left"/>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2.崇尚宪法、遵法守纪、崇德向善、诚实守信、尊重生命、热爱劳动，履行道德准则和行为规范，具有社会责任感和社会参与意识;</w:t>
      </w:r>
    </w:p>
    <w:p>
      <w:pPr>
        <w:spacing w:line="560" w:lineRule="exact"/>
        <w:ind w:firstLine="640" w:firstLineChars="200"/>
        <w:jc w:val="left"/>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lang w:val="en-US" w:eastAsia="zh-CN"/>
          <w14:textFill>
            <w14:solidFill>
              <w14:schemeClr w14:val="tx1"/>
            </w14:solidFill>
          </w14:textFill>
        </w:rPr>
        <w:t>3.</w:t>
      </w:r>
      <w:r>
        <w:rPr>
          <w:rFonts w:hint="eastAsia" w:ascii="仿宋" w:hAnsi="仿宋" w:eastAsia="仿宋" w:cs="仿宋"/>
          <w:bCs/>
          <w:color w:val="000000" w:themeColor="text1"/>
          <w:sz w:val="32"/>
          <w:szCs w:val="32"/>
          <w14:textFill>
            <w14:solidFill>
              <w14:schemeClr w14:val="tx1"/>
            </w14:solidFill>
          </w14:textFill>
        </w:rPr>
        <w:t>爱岗敬业，诚实守信，廉洁自律，坚持准则，具有严谨细致、客观公正的职业精神和强化服务、参与管理的职业意识；</w:t>
      </w:r>
    </w:p>
    <w:p>
      <w:pPr>
        <w:spacing w:line="560" w:lineRule="exact"/>
        <w:ind w:firstLine="640" w:firstLineChars="200"/>
        <w:jc w:val="left"/>
        <w:rPr>
          <w:rFonts w:hint="eastAsia" w:ascii="仿宋" w:hAnsi="仿宋" w:eastAsia="仿宋" w:cs="仿宋"/>
          <w:bCs/>
          <w:color w:val="000000" w:themeColor="text1"/>
          <w:sz w:val="32"/>
          <w:szCs w:val="32"/>
          <w:lang w:eastAsia="zh-CN"/>
          <w14:textFill>
            <w14:solidFill>
              <w14:schemeClr w14:val="tx1"/>
            </w14:solidFill>
          </w14:textFill>
        </w:rPr>
      </w:pPr>
      <w:r>
        <w:rPr>
          <w:rFonts w:hint="eastAsia" w:ascii="仿宋" w:hAnsi="仿宋" w:eastAsia="仿宋" w:cs="仿宋"/>
          <w:bCs/>
          <w:color w:val="000000" w:themeColor="text1"/>
          <w:sz w:val="32"/>
          <w:szCs w:val="32"/>
          <w:lang w:val="en-US" w:eastAsia="zh-CN"/>
          <w14:textFill>
            <w14:solidFill>
              <w14:schemeClr w14:val="tx1"/>
            </w14:solidFill>
          </w14:textFill>
        </w:rPr>
        <w:t>4</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14:textFill>
            <w14:solidFill>
              <w14:schemeClr w14:val="tx1"/>
            </w14:solidFill>
          </w14:textFill>
        </w:rPr>
        <w:t>具有质量意识、环保意识、安全意识、信息素养、工匠精神、创新思维</w:t>
      </w:r>
      <w:r>
        <w:rPr>
          <w:rFonts w:hint="eastAsia" w:ascii="仿宋" w:hAnsi="仿宋" w:eastAsia="仿宋" w:cs="仿宋"/>
          <w:bCs/>
          <w:color w:val="000000" w:themeColor="text1"/>
          <w:sz w:val="32"/>
          <w:szCs w:val="32"/>
          <w:lang w:eastAsia="zh-CN"/>
          <w14:textFill>
            <w14:solidFill>
              <w14:schemeClr w14:val="tx1"/>
            </w14:solidFill>
          </w14:textFill>
        </w:rPr>
        <w:t>；</w:t>
      </w:r>
    </w:p>
    <w:p>
      <w:pPr>
        <w:spacing w:line="560" w:lineRule="exact"/>
        <w:ind w:firstLine="640" w:firstLineChars="200"/>
        <w:jc w:val="left"/>
        <w:rPr>
          <w:rFonts w:hint="eastAsia" w:ascii="仿宋" w:hAnsi="仿宋" w:eastAsia="仿宋" w:cs="仿宋"/>
          <w:bCs/>
          <w:color w:val="000000" w:themeColor="text1"/>
          <w:sz w:val="32"/>
          <w:szCs w:val="32"/>
          <w:lang w:eastAsia="zh-CN"/>
          <w14:textFill>
            <w14:solidFill>
              <w14:schemeClr w14:val="tx1"/>
            </w14:solidFill>
          </w14:textFill>
        </w:rPr>
      </w:pPr>
      <w:r>
        <w:rPr>
          <w:rFonts w:hint="eastAsia" w:ascii="仿宋" w:hAnsi="仿宋" w:eastAsia="仿宋" w:cs="仿宋"/>
          <w:bCs/>
          <w:color w:val="000000" w:themeColor="text1"/>
          <w:sz w:val="32"/>
          <w:szCs w:val="32"/>
          <w:lang w:val="en-US" w:eastAsia="zh-CN"/>
          <w14:textFill>
            <w14:solidFill>
              <w14:schemeClr w14:val="tx1"/>
            </w14:solidFill>
          </w14:textFill>
        </w:rPr>
        <w:t>5</w:t>
      </w:r>
      <w:r>
        <w:rPr>
          <w:rFonts w:hint="eastAsia" w:ascii="仿宋" w:hAnsi="仿宋" w:eastAsia="仿宋" w:cs="仿宋"/>
          <w:bCs/>
          <w:color w:val="000000" w:themeColor="text1"/>
          <w:sz w:val="32"/>
          <w:szCs w:val="32"/>
          <w:lang w:eastAsia="zh-CN"/>
          <w14:textFill>
            <w14:solidFill>
              <w14:schemeClr w14:val="tx1"/>
            </w14:solidFill>
          </w14:textFill>
        </w:rPr>
        <w:t>.具有坚韧不拔的毅力、积极乐观的态度、良好的人际关系、健全的人格品质，</w:t>
      </w:r>
      <w:r>
        <w:rPr>
          <w:rFonts w:hint="eastAsia" w:ascii="仿宋" w:hAnsi="仿宋" w:eastAsia="仿宋" w:cs="仿宋"/>
          <w:bCs/>
          <w:color w:val="000000" w:themeColor="text1"/>
          <w:sz w:val="32"/>
          <w:szCs w:val="32"/>
          <w14:textFill>
            <w14:solidFill>
              <w14:schemeClr w14:val="tx1"/>
            </w14:solidFill>
          </w14:textFill>
        </w:rPr>
        <w:t>有较强的团队合作精神</w:t>
      </w:r>
      <w:r>
        <w:rPr>
          <w:rFonts w:hint="eastAsia" w:ascii="仿宋" w:hAnsi="仿宋" w:eastAsia="仿宋" w:cs="仿宋"/>
          <w:bCs/>
          <w:color w:val="000000" w:themeColor="text1"/>
          <w:sz w:val="32"/>
          <w:szCs w:val="32"/>
          <w:lang w:eastAsia="zh-CN"/>
          <w14:textFill>
            <w14:solidFill>
              <w14:schemeClr w14:val="tx1"/>
            </w14:solidFill>
          </w14:textFill>
        </w:rPr>
        <w:t>。</w:t>
      </w:r>
    </w:p>
    <w:p>
      <w:pPr>
        <w:spacing w:line="560" w:lineRule="exact"/>
        <w:ind w:firstLine="643" w:firstLineChars="200"/>
        <w:jc w:val="left"/>
        <w:outlineLvl w:val="1"/>
        <w:rPr>
          <w:rFonts w:hint="eastAsia" w:ascii="楷体" w:hAnsi="楷体" w:eastAsia="楷体" w:cs="楷体"/>
          <w:b/>
          <w:bCs/>
          <w:color w:val="000000" w:themeColor="text1"/>
          <w:sz w:val="32"/>
          <w:szCs w:val="32"/>
          <w:lang w:eastAsia="zh-CN"/>
          <w14:textFill>
            <w14:solidFill>
              <w14:schemeClr w14:val="tx1"/>
            </w14:solidFill>
          </w14:textFill>
        </w:rPr>
      </w:pPr>
      <w:bookmarkStart w:id="23" w:name="_Toc29304"/>
      <w:bookmarkStart w:id="24" w:name="_Toc31658"/>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楷体" w:hAnsi="楷体" w:eastAsia="楷体" w:cs="楷体"/>
          <w:b/>
          <w:bCs/>
          <w:color w:val="000000" w:themeColor="text1"/>
          <w:sz w:val="32"/>
          <w:szCs w:val="32"/>
          <w:lang w:val="en-US" w:eastAsia="zh-CN"/>
          <w14:textFill>
            <w14:solidFill>
              <w14:schemeClr w14:val="tx1"/>
            </w14:solidFill>
          </w14:textFill>
        </w:rPr>
        <w:t>二</w:t>
      </w:r>
      <w:r>
        <w:rPr>
          <w:rFonts w:hint="eastAsia" w:ascii="楷体" w:hAnsi="楷体" w:eastAsia="楷体" w:cs="楷体"/>
          <w:b/>
          <w:bCs/>
          <w:color w:val="000000" w:themeColor="text1"/>
          <w:sz w:val="32"/>
          <w:szCs w:val="32"/>
          <w:lang w:eastAsia="zh-CN"/>
          <w14:textFill>
            <w14:solidFill>
              <w14:schemeClr w14:val="tx1"/>
            </w14:solidFill>
          </w14:textFill>
        </w:rPr>
        <w:t>）知识</w:t>
      </w:r>
      <w:bookmarkEnd w:id="23"/>
      <w:bookmarkEnd w:id="24"/>
    </w:p>
    <w:p>
      <w:pPr>
        <w:spacing w:line="560" w:lineRule="exact"/>
        <w:ind w:firstLine="640" w:firstLineChars="200"/>
        <w:jc w:val="left"/>
        <w:rPr>
          <w:rFonts w:hint="eastAsia" w:ascii="仿宋" w:hAnsi="仿宋" w:eastAsia="仿宋" w:cs="仿宋"/>
          <w:bCs/>
          <w:color w:val="000000" w:themeColor="text1"/>
          <w:sz w:val="32"/>
          <w:szCs w:val="32"/>
          <w:lang w:eastAsia="zh-CN"/>
          <w14:textFill>
            <w14:solidFill>
              <w14:schemeClr w14:val="tx1"/>
            </w14:solidFill>
          </w14:textFill>
        </w:rPr>
      </w:pPr>
      <w:r>
        <w:rPr>
          <w:rFonts w:hint="eastAsia" w:ascii="仿宋" w:hAnsi="仿宋" w:eastAsia="仿宋" w:cs="仿宋"/>
          <w:bCs/>
          <w:color w:val="000000" w:themeColor="text1"/>
          <w:sz w:val="32"/>
          <w:szCs w:val="32"/>
          <w:lang w:eastAsia="zh-CN"/>
          <w14:textFill>
            <w14:solidFill>
              <w14:schemeClr w14:val="tx1"/>
            </w14:solidFill>
          </w14:textFill>
        </w:rPr>
        <w:t>1.掌握必备的思想政治理论、科学文化基础知识；</w:t>
      </w:r>
    </w:p>
    <w:p>
      <w:pPr>
        <w:spacing w:line="560" w:lineRule="exact"/>
        <w:ind w:firstLine="640" w:firstLineChars="200"/>
        <w:jc w:val="left"/>
        <w:rPr>
          <w:rFonts w:hint="eastAsia" w:ascii="仿宋" w:hAnsi="仿宋" w:eastAsia="仿宋" w:cs="仿宋"/>
          <w:bCs/>
          <w:color w:val="000000" w:themeColor="text1"/>
          <w:sz w:val="32"/>
          <w:szCs w:val="32"/>
          <w:lang w:eastAsia="zh-CN"/>
          <w14:textFill>
            <w14:solidFill>
              <w14:schemeClr w14:val="tx1"/>
            </w14:solidFill>
          </w14:textFill>
        </w:rPr>
      </w:pPr>
      <w:r>
        <w:rPr>
          <w:rFonts w:hint="eastAsia" w:ascii="仿宋" w:hAnsi="仿宋" w:eastAsia="仿宋" w:cs="仿宋"/>
          <w:bCs/>
          <w:color w:val="000000" w:themeColor="text1"/>
          <w:sz w:val="32"/>
          <w:szCs w:val="32"/>
          <w:lang w:eastAsia="zh-CN"/>
          <w14:textFill>
            <w14:solidFill>
              <w14:schemeClr w14:val="tx1"/>
            </w14:solidFill>
          </w14:textFill>
        </w:rPr>
        <w:t>2.掌握企业日常经营活动基本业务流程和会计核算方法；</w:t>
      </w:r>
    </w:p>
    <w:p>
      <w:pPr>
        <w:spacing w:line="560" w:lineRule="exact"/>
        <w:ind w:firstLine="640" w:firstLineChars="200"/>
        <w:jc w:val="left"/>
        <w:rPr>
          <w:rFonts w:hint="eastAsia" w:ascii="仿宋" w:hAnsi="仿宋" w:eastAsia="仿宋" w:cs="仿宋"/>
          <w:bCs/>
          <w:color w:val="000000" w:themeColor="text1"/>
          <w:sz w:val="32"/>
          <w:szCs w:val="32"/>
          <w:lang w:eastAsia="zh-CN"/>
          <w14:textFill>
            <w14:solidFill>
              <w14:schemeClr w14:val="tx1"/>
            </w14:solidFill>
          </w14:textFill>
        </w:rPr>
      </w:pPr>
      <w:r>
        <w:rPr>
          <w:rFonts w:hint="eastAsia" w:ascii="仿宋" w:hAnsi="仿宋" w:eastAsia="仿宋" w:cs="仿宋"/>
          <w:bCs/>
          <w:color w:val="000000" w:themeColor="text1"/>
          <w:sz w:val="32"/>
          <w:szCs w:val="32"/>
          <w:lang w:eastAsia="zh-CN"/>
          <w14:textFill>
            <w14:solidFill>
              <w14:schemeClr w14:val="tx1"/>
            </w14:solidFill>
          </w14:textFill>
        </w:rPr>
        <w:t>3.熟悉与</w:t>
      </w:r>
      <w:r>
        <w:rPr>
          <w:rFonts w:hint="eastAsia" w:ascii="仿宋" w:hAnsi="仿宋" w:eastAsia="仿宋" w:cs="仿宋"/>
          <w:bCs/>
          <w:color w:val="000000" w:themeColor="text1"/>
          <w:sz w:val="32"/>
          <w:szCs w:val="32"/>
          <w:lang w:val="en-US" w:eastAsia="zh-CN"/>
          <w14:textFill>
            <w14:solidFill>
              <w14:schemeClr w14:val="tx1"/>
            </w14:solidFill>
          </w14:textFill>
        </w:rPr>
        <w:t>本专业</w:t>
      </w:r>
      <w:r>
        <w:rPr>
          <w:rFonts w:hint="eastAsia" w:ascii="仿宋" w:hAnsi="仿宋" w:eastAsia="仿宋" w:cs="仿宋"/>
          <w:bCs/>
          <w:color w:val="000000" w:themeColor="text1"/>
          <w:sz w:val="32"/>
          <w:szCs w:val="32"/>
          <w:lang w:eastAsia="zh-CN"/>
          <w14:textFill>
            <w14:solidFill>
              <w14:schemeClr w14:val="tx1"/>
            </w14:solidFill>
          </w14:textFill>
        </w:rPr>
        <w:t>相关的财经法律法规</w:t>
      </w:r>
      <w:r>
        <w:rPr>
          <w:rFonts w:hint="eastAsia" w:ascii="仿宋" w:hAnsi="仿宋" w:eastAsia="仿宋" w:cs="仿宋"/>
          <w:bCs/>
          <w:color w:val="000000" w:themeColor="text1"/>
          <w:sz w:val="32"/>
          <w:szCs w:val="32"/>
          <w:lang w:val="en-US" w:eastAsia="zh-CN"/>
          <w14:textFill>
            <w14:solidFill>
              <w14:schemeClr w14:val="tx1"/>
            </w14:solidFill>
          </w14:textFill>
        </w:rPr>
        <w:t>相关</w:t>
      </w:r>
      <w:r>
        <w:rPr>
          <w:rFonts w:hint="eastAsia" w:ascii="仿宋" w:hAnsi="仿宋" w:eastAsia="仿宋" w:cs="仿宋"/>
          <w:bCs/>
          <w:color w:val="000000" w:themeColor="text1"/>
          <w:sz w:val="32"/>
          <w:szCs w:val="32"/>
          <w:lang w:eastAsia="zh-CN"/>
          <w14:textFill>
            <w14:solidFill>
              <w14:schemeClr w14:val="tx1"/>
            </w14:solidFill>
          </w14:textFill>
        </w:rPr>
        <w:t>知识；</w:t>
      </w:r>
    </w:p>
    <w:p>
      <w:pPr>
        <w:spacing w:line="560" w:lineRule="exact"/>
        <w:ind w:firstLine="640" w:firstLineChars="200"/>
        <w:jc w:val="left"/>
        <w:rPr>
          <w:rFonts w:hint="eastAsia" w:ascii="仿宋" w:hAnsi="仿宋" w:eastAsia="仿宋" w:cs="仿宋"/>
          <w:bCs/>
          <w:color w:val="000000" w:themeColor="text1"/>
          <w:sz w:val="32"/>
          <w:szCs w:val="32"/>
          <w:lang w:eastAsia="zh-CN"/>
          <w14:textFill>
            <w14:solidFill>
              <w14:schemeClr w14:val="tx1"/>
            </w14:solidFill>
          </w14:textFill>
        </w:rPr>
      </w:pPr>
      <w:r>
        <w:rPr>
          <w:rFonts w:hint="eastAsia" w:ascii="仿宋" w:hAnsi="仿宋" w:eastAsia="仿宋" w:cs="仿宋"/>
          <w:bCs/>
          <w:color w:val="000000" w:themeColor="text1"/>
          <w:sz w:val="32"/>
          <w:szCs w:val="32"/>
          <w:lang w:eastAsia="zh-CN"/>
          <w14:textFill>
            <w14:solidFill>
              <w14:schemeClr w14:val="tx1"/>
            </w14:solidFill>
          </w14:textFill>
        </w:rPr>
        <w:t>4.</w:t>
      </w:r>
      <w:r>
        <w:rPr>
          <w:rFonts w:hint="eastAsia" w:ascii="仿宋" w:hAnsi="仿宋" w:eastAsia="仿宋" w:cs="仿宋"/>
          <w:bCs/>
          <w:color w:val="000000" w:themeColor="text1"/>
          <w:sz w:val="32"/>
          <w:szCs w:val="32"/>
          <w:lang w:val="en-US" w:eastAsia="zh-CN"/>
          <w14:textFill>
            <w14:solidFill>
              <w14:schemeClr w14:val="tx1"/>
            </w14:solidFill>
          </w14:textFill>
        </w:rPr>
        <w:t>掌握</w:t>
      </w:r>
      <w:r>
        <w:rPr>
          <w:rFonts w:hint="eastAsia" w:ascii="仿宋" w:hAnsi="仿宋" w:eastAsia="仿宋" w:cs="仿宋"/>
          <w:bCs/>
          <w:color w:val="000000" w:themeColor="text1"/>
          <w:sz w:val="32"/>
          <w:szCs w:val="32"/>
          <w:lang w:eastAsia="zh-CN"/>
          <w14:textFill>
            <w14:solidFill>
              <w14:schemeClr w14:val="tx1"/>
            </w14:solidFill>
          </w14:textFill>
        </w:rPr>
        <w:t>企业经营与</w:t>
      </w:r>
      <w:r>
        <w:rPr>
          <w:rFonts w:hint="eastAsia" w:ascii="仿宋" w:hAnsi="仿宋" w:eastAsia="仿宋" w:cs="仿宋"/>
          <w:bCs/>
          <w:color w:val="000000" w:themeColor="text1"/>
          <w:sz w:val="32"/>
          <w:szCs w:val="32"/>
          <w:lang w:val="en-US" w:eastAsia="zh-CN"/>
          <w14:textFill>
            <w14:solidFill>
              <w14:schemeClr w14:val="tx1"/>
            </w14:solidFill>
          </w14:textFill>
        </w:rPr>
        <w:t>财务</w:t>
      </w:r>
      <w:r>
        <w:rPr>
          <w:rFonts w:hint="eastAsia" w:ascii="仿宋" w:hAnsi="仿宋" w:eastAsia="仿宋" w:cs="仿宋"/>
          <w:bCs/>
          <w:color w:val="000000" w:themeColor="text1"/>
          <w:sz w:val="32"/>
          <w:szCs w:val="32"/>
          <w:lang w:eastAsia="zh-CN"/>
          <w14:textFill>
            <w14:solidFill>
              <w14:schemeClr w14:val="tx1"/>
            </w14:solidFill>
          </w14:textFill>
        </w:rPr>
        <w:t>管理知识；</w:t>
      </w:r>
    </w:p>
    <w:p>
      <w:pPr>
        <w:spacing w:line="560" w:lineRule="exact"/>
        <w:ind w:firstLine="640" w:firstLineChars="200"/>
        <w:jc w:val="left"/>
        <w:rPr>
          <w:rFonts w:hint="eastAsia" w:ascii="仿宋" w:hAnsi="仿宋" w:eastAsia="仿宋" w:cs="仿宋"/>
          <w:bCs/>
          <w:color w:val="000000" w:themeColor="text1"/>
          <w:sz w:val="32"/>
          <w:szCs w:val="32"/>
          <w:lang w:eastAsia="zh-CN"/>
          <w14:textFill>
            <w14:solidFill>
              <w14:schemeClr w14:val="tx1"/>
            </w14:solidFill>
          </w14:textFill>
        </w:rPr>
      </w:pPr>
      <w:r>
        <w:rPr>
          <w:rFonts w:hint="eastAsia" w:ascii="仿宋" w:hAnsi="仿宋" w:eastAsia="仿宋" w:cs="仿宋"/>
          <w:bCs/>
          <w:color w:val="000000" w:themeColor="text1"/>
          <w:sz w:val="32"/>
          <w:szCs w:val="32"/>
          <w:lang w:eastAsia="zh-CN"/>
          <w14:textFill>
            <w14:solidFill>
              <w14:schemeClr w14:val="tx1"/>
            </w14:solidFill>
          </w14:textFill>
        </w:rPr>
        <w:t>5.掌握常用财务软件及会计信息系统的知识及应用。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outlineLvl w:val="1"/>
        <w:rPr>
          <w:rFonts w:hint="eastAsia" w:ascii="楷体" w:hAnsi="楷体" w:eastAsia="楷体" w:cs="楷体"/>
          <w:b/>
          <w:bCs w:val="0"/>
          <w:color w:val="000000" w:themeColor="text1"/>
          <w:sz w:val="32"/>
          <w:szCs w:val="32"/>
          <w14:textFill>
            <w14:solidFill>
              <w14:schemeClr w14:val="tx1"/>
            </w14:solidFill>
          </w14:textFill>
        </w:rPr>
      </w:pPr>
      <w:bookmarkStart w:id="25" w:name="_Toc23620"/>
      <w:bookmarkStart w:id="26" w:name="_Toc21028"/>
      <w:r>
        <w:rPr>
          <w:rFonts w:hint="eastAsia" w:ascii="楷体" w:hAnsi="楷体" w:eastAsia="楷体" w:cs="楷体"/>
          <w:b/>
          <w:bCs w:val="0"/>
          <w:color w:val="000000" w:themeColor="text1"/>
          <w:sz w:val="32"/>
          <w:szCs w:val="32"/>
          <w:lang w:eastAsia="zh-CN"/>
          <w14:textFill>
            <w14:solidFill>
              <w14:schemeClr w14:val="tx1"/>
            </w14:solidFill>
          </w14:textFill>
        </w:rPr>
        <w:t>（</w:t>
      </w:r>
      <w:r>
        <w:rPr>
          <w:rFonts w:hint="eastAsia" w:ascii="楷体" w:hAnsi="楷体" w:eastAsia="楷体" w:cs="楷体"/>
          <w:b/>
          <w:bCs w:val="0"/>
          <w:color w:val="000000" w:themeColor="text1"/>
          <w:sz w:val="32"/>
          <w:szCs w:val="32"/>
          <w:lang w:val="en-US" w:eastAsia="zh-CN"/>
          <w14:textFill>
            <w14:solidFill>
              <w14:schemeClr w14:val="tx1"/>
            </w14:solidFill>
          </w14:textFill>
        </w:rPr>
        <w:t>三</w:t>
      </w:r>
      <w:r>
        <w:rPr>
          <w:rFonts w:hint="eastAsia" w:ascii="楷体" w:hAnsi="楷体" w:eastAsia="楷体" w:cs="楷体"/>
          <w:b/>
          <w:bCs w:val="0"/>
          <w:color w:val="000000" w:themeColor="text1"/>
          <w:sz w:val="32"/>
          <w:szCs w:val="32"/>
          <w:lang w:eastAsia="zh-CN"/>
          <w14:textFill>
            <w14:solidFill>
              <w14:schemeClr w14:val="tx1"/>
            </w14:solidFill>
          </w14:textFill>
        </w:rPr>
        <w:t>）</w:t>
      </w:r>
      <w:r>
        <w:rPr>
          <w:rFonts w:hint="eastAsia" w:ascii="楷体" w:hAnsi="楷体" w:eastAsia="楷体" w:cs="楷体"/>
          <w:b/>
          <w:bCs w:val="0"/>
          <w:color w:val="000000" w:themeColor="text1"/>
          <w:sz w:val="32"/>
          <w:szCs w:val="32"/>
          <w14:textFill>
            <w14:solidFill>
              <w14:schemeClr w14:val="tx1"/>
            </w14:solidFill>
          </w14:textFill>
        </w:rPr>
        <w:t>能力</w:t>
      </w:r>
      <w:bookmarkEnd w:id="25"/>
      <w:bookmarkEnd w:id="2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1.掌握票据法规知识和电子票据处理基本技能，具有企业主要经济业务票据识别</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 xml:space="preserve">电子发票开具等票据处理能力；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2.掌握资金结算与内控管理知识，具有企业收支业务办理、出纳账务处理和往来资金管理能力；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3.掌握企业日常经营活动基本业务流程和会计核算方法，具有主要经济业务会计确认、计量、报告以及实施会计监督的能力；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4</w:t>
      </w:r>
      <w:r>
        <w:rPr>
          <w:rFonts w:hint="eastAsia" w:ascii="仿宋" w:hAnsi="仿宋" w:eastAsia="仿宋" w:cs="仿宋"/>
          <w:color w:val="000000" w:themeColor="text1"/>
          <w:sz w:val="32"/>
          <w:szCs w:val="32"/>
          <w14:textFill>
            <w14:solidFill>
              <w14:schemeClr w14:val="tx1"/>
            </w14:solidFill>
          </w14:textFill>
        </w:rPr>
        <w:t xml:space="preserve">.掌握会计信息系统主要功能、应用方法、实施步骤与工作规范，具有企业基本业务流程办理、业财核算与监督、应用财务机器人进行辅助核算的能力；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pPr>
      <w:r>
        <w:rPr>
          <w:rFonts w:hint="eastAsia" w:ascii="仿宋" w:hAnsi="仿宋" w:eastAsia="仿宋" w:cs="仿宋"/>
          <w:color w:val="000000" w:themeColor="text1"/>
          <w:sz w:val="32"/>
          <w:szCs w:val="32"/>
          <w:lang w:val="en-US" w:eastAsia="zh-CN"/>
          <w14:textFill>
            <w14:solidFill>
              <w14:schemeClr w14:val="tx1"/>
            </w14:solidFill>
          </w14:textFill>
        </w:rPr>
        <w:t>5</w:t>
      </w:r>
      <w:r>
        <w:rPr>
          <w:rFonts w:hint="eastAsia" w:ascii="仿宋" w:hAnsi="仿宋" w:eastAsia="仿宋" w:cs="仿宋"/>
          <w:color w:val="000000" w:themeColor="text1"/>
          <w:sz w:val="32"/>
          <w:szCs w:val="32"/>
          <w14:textFill>
            <w14:solidFill>
              <w14:schemeClr w14:val="tx1"/>
            </w14:solidFill>
          </w14:textFill>
        </w:rPr>
        <w:t>.掌握财务数据分析的基本方法，具有企业经营数据、财务报表数据分析并对数据分析结果进行可视化呈现的能力。</w:t>
      </w:r>
    </w:p>
    <w:p>
      <w:pPr>
        <w:spacing w:line="560" w:lineRule="exact"/>
        <w:ind w:firstLine="640" w:firstLineChars="200"/>
        <w:jc w:val="left"/>
        <w:outlineLvl w:val="0"/>
        <w:rPr>
          <w:rFonts w:hint="eastAsia" w:ascii="黑体" w:hAnsi="黑体" w:eastAsia="黑体" w:cs="黑体"/>
          <w:color w:val="000000" w:themeColor="text1"/>
          <w:sz w:val="32"/>
          <w:szCs w:val="32"/>
          <w:lang w:val="en-US" w:eastAsia="zh-CN"/>
          <w14:textFill>
            <w14:solidFill>
              <w14:schemeClr w14:val="tx1"/>
            </w14:solidFill>
          </w14:textFill>
        </w:rPr>
      </w:pPr>
      <w:bookmarkStart w:id="27" w:name="_Toc14087"/>
      <w:bookmarkStart w:id="28" w:name="_Toc32645"/>
      <w:r>
        <w:rPr>
          <w:rFonts w:hint="eastAsia" w:ascii="黑体" w:hAnsi="黑体" w:eastAsia="黑体" w:cs="黑体"/>
          <w:color w:val="000000" w:themeColor="text1"/>
          <w:sz w:val="32"/>
          <w:szCs w:val="32"/>
          <w:lang w:val="en-US" w:eastAsia="zh-CN"/>
          <w14:textFill>
            <w14:solidFill>
              <w14:schemeClr w14:val="tx1"/>
            </w14:solidFill>
          </w14:textFill>
        </w:rPr>
        <w:t>七、职业能力和职业资格/职业技能标准分析</w:t>
      </w:r>
      <w:bookmarkEnd w:id="27"/>
      <w:bookmarkEnd w:id="2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职业能力和职业资格/职业技能标准分析表见表1-2。</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表1-2        职业能力和职业资格/职业技能标准分析表</w:t>
      </w:r>
    </w:p>
    <w:tbl>
      <w:tblPr>
        <w:tblStyle w:val="11"/>
        <w:tblW w:w="88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2"/>
        <w:gridCol w:w="3257"/>
        <w:gridCol w:w="4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38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
                <w:bCs/>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b/>
                <w:bCs/>
                <w:color w:val="000000" w:themeColor="text1"/>
                <w:sz w:val="24"/>
                <w:szCs w:val="24"/>
                <w:highlight w:val="none"/>
                <w:vertAlign w:val="baseline"/>
                <w:lang w:val="en-US" w:eastAsia="zh-CN"/>
                <w14:textFill>
                  <w14:solidFill>
                    <w14:schemeClr w14:val="tx1"/>
                  </w14:solidFill>
                </w14:textFill>
              </w:rPr>
              <w:t>工作岗位</w:t>
            </w:r>
          </w:p>
        </w:tc>
        <w:tc>
          <w:tcPr>
            <w:tcW w:w="32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
                <w:bCs/>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b/>
                <w:bCs/>
                <w:color w:val="000000" w:themeColor="text1"/>
                <w:sz w:val="24"/>
                <w:szCs w:val="24"/>
                <w:highlight w:val="none"/>
                <w:vertAlign w:val="baseline"/>
                <w:lang w:val="en-US" w:eastAsia="zh-CN"/>
                <w14:textFill>
                  <w14:solidFill>
                    <w14:schemeClr w14:val="tx1"/>
                  </w14:solidFill>
                </w14:textFill>
              </w:rPr>
              <w:t>职业能力</w:t>
            </w:r>
          </w:p>
        </w:tc>
        <w:tc>
          <w:tcPr>
            <w:tcW w:w="419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
                <w:bCs/>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b/>
                <w:bCs/>
                <w:color w:val="000000" w:themeColor="text1"/>
                <w:sz w:val="24"/>
                <w:szCs w:val="24"/>
                <w:highlight w:val="none"/>
                <w:vertAlign w:val="baseline"/>
                <w:lang w:val="en-US" w:eastAsia="zh-CN"/>
                <w14:textFill>
                  <w14:solidFill>
                    <w14:schemeClr w14:val="tx1"/>
                  </w14:solidFill>
                </w14:textFill>
              </w:rPr>
              <w:t>职业资格/职业技能标准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jc w:val="center"/>
        </w:trPr>
        <w:tc>
          <w:tcPr>
            <w:tcW w:w="138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会计主管</w:t>
            </w:r>
          </w:p>
        </w:tc>
        <w:tc>
          <w:tcPr>
            <w:tcW w:w="3257"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负责业务协同系统中与本岗位相关的经济业务办理、原始业务单据审核和审批。</w:t>
            </w:r>
          </w:p>
        </w:tc>
        <w:tc>
          <w:tcPr>
            <w:tcW w:w="4199"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1.能根据会计信息化系统进行记账凭证审核、期末结账并出具财务报表。</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2.能进行转账汇款申请记录的复核。</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3.熟悉电子税务局系统税费的申报和缴纳等操作流程。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0" w:hRule="atLeast"/>
          <w:jc w:val="center"/>
        </w:trPr>
        <w:tc>
          <w:tcPr>
            <w:tcW w:w="138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出纳</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p>
        </w:tc>
        <w:tc>
          <w:tcPr>
            <w:tcW w:w="3257"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1.负责现金、银行存款、票据结算的业务处理。</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2.熟悉网上银行系统付款业务的转账汇款申请；每日办理完结银行存款收支业务后核对出纳账与网上银行系统的银行存款余额是</w:t>
            </w:r>
            <w:r>
              <w:rPr>
                <w:rFonts w:hint="eastAsia" w:ascii="仿宋" w:hAnsi="仿宋" w:eastAsia="仿宋" w:cs="仿宋"/>
                <w:color w:val="000000" w:themeColor="text1"/>
                <w:w w:val="90"/>
                <w:sz w:val="24"/>
                <w:szCs w:val="24"/>
                <w:highlight w:val="none"/>
                <w:lang w:val="en-US" w:eastAsia="zh-CN"/>
                <w14:textFill>
                  <w14:solidFill>
                    <w14:schemeClr w14:val="tx1"/>
                  </w14:solidFill>
                </w14:textFill>
              </w:rPr>
              <w:t>否账实相符、账账相符。</w:t>
            </w:r>
          </w:p>
        </w:tc>
        <w:tc>
          <w:tcPr>
            <w:tcW w:w="4199"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1.负责现金保管和存取事项。每日办理完结现金收支业务后自盘现金余额并核对出纳账与保险柜现金是否账实相符、账账相符。</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2.负责出纳账系统的登记。通过查询业务协同系统和会计信息化系统登记现金日记账、</w:t>
            </w:r>
            <w:r>
              <w:rPr>
                <w:rFonts w:hint="eastAsia" w:ascii="仿宋" w:hAnsi="仿宋" w:eastAsia="仿宋" w:cs="仿宋"/>
                <w:color w:val="000000" w:themeColor="text1"/>
                <w:w w:val="90"/>
                <w:sz w:val="24"/>
                <w:szCs w:val="24"/>
                <w:highlight w:val="none"/>
                <w:lang w:val="en-US" w:eastAsia="zh-CN"/>
                <w14:textFill>
                  <w14:solidFill>
                    <w14:schemeClr w14:val="tx1"/>
                  </w14:solidFill>
                </w14:textFill>
              </w:rPr>
              <w:t>银行存款日记账和其他备查账簿。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3" w:hRule="atLeast"/>
          <w:jc w:val="center"/>
        </w:trPr>
        <w:tc>
          <w:tcPr>
            <w:tcW w:w="138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会计</w:t>
            </w:r>
          </w:p>
        </w:tc>
        <w:tc>
          <w:tcPr>
            <w:tcW w:w="3257"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负责业务协同系统中与本岗位相关的经济业务办理，主要处理除其他两个岗位办理的经济业务外的所有经济业务内容。</w:t>
            </w:r>
          </w:p>
        </w:tc>
        <w:tc>
          <w:tcPr>
            <w:tcW w:w="4199"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1.负责会计信息化系统会计科目、供应商、客户、部门、职员基础信息的维护；完成记账凭证的填制、期末结转损益和记账工作。</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2.负责开票系统的发票开具。</w:t>
            </w:r>
          </w:p>
        </w:tc>
      </w:tr>
    </w:tbl>
    <w:p>
      <w:pPr>
        <w:spacing w:line="560" w:lineRule="exact"/>
        <w:ind w:firstLine="640" w:firstLineChars="200"/>
        <w:jc w:val="left"/>
        <w:outlineLvl w:val="0"/>
        <w:rPr>
          <w:rFonts w:ascii="黑体" w:hAnsi="黑体" w:eastAsia="黑体" w:cs="黑体"/>
          <w:color w:val="000000" w:themeColor="text1"/>
          <w:sz w:val="32"/>
          <w:szCs w:val="32"/>
          <w14:textFill>
            <w14:solidFill>
              <w14:schemeClr w14:val="tx1"/>
            </w14:solidFill>
          </w14:textFill>
        </w:rPr>
      </w:pPr>
      <w:bookmarkStart w:id="29" w:name="_Toc31386"/>
      <w:bookmarkStart w:id="30" w:name="_Toc25735"/>
      <w:r>
        <w:rPr>
          <w:rFonts w:hint="eastAsia" w:ascii="黑体" w:hAnsi="黑体" w:eastAsia="黑体" w:cs="黑体"/>
          <w:color w:val="000000" w:themeColor="text1"/>
          <w:sz w:val="32"/>
          <w:szCs w:val="32"/>
          <w:lang w:val="en-US" w:eastAsia="zh-CN"/>
          <w14:textFill>
            <w14:solidFill>
              <w14:schemeClr w14:val="tx1"/>
            </w14:solidFill>
          </w14:textFill>
        </w:rPr>
        <w:t>八</w:t>
      </w:r>
      <w:r>
        <w:rPr>
          <w:rFonts w:hint="eastAsia" w:ascii="黑体" w:hAnsi="黑体" w:eastAsia="黑体" w:cs="黑体"/>
          <w:color w:val="000000" w:themeColor="text1"/>
          <w:sz w:val="32"/>
          <w:szCs w:val="32"/>
          <w14:textFill>
            <w14:solidFill>
              <w14:schemeClr w14:val="tx1"/>
            </w14:solidFill>
          </w14:textFill>
        </w:rPr>
        <w:t>、课程设置及要求</w:t>
      </w:r>
      <w:bookmarkEnd w:id="29"/>
      <w:bookmarkEnd w:id="30"/>
    </w:p>
    <w:p>
      <w:pPr>
        <w:spacing w:line="560" w:lineRule="exact"/>
        <w:ind w:firstLine="643" w:firstLineChars="200"/>
        <w:jc w:val="left"/>
        <w:outlineLvl w:val="1"/>
        <w:rPr>
          <w:rFonts w:hint="eastAsia" w:ascii="楷体" w:hAnsi="楷体" w:eastAsia="楷体" w:cs="楷体"/>
          <w:b/>
          <w:bCs/>
          <w:color w:val="000000" w:themeColor="text1"/>
          <w:sz w:val="32"/>
          <w:szCs w:val="32"/>
          <w:lang w:eastAsia="zh-CN"/>
          <w14:textFill>
            <w14:solidFill>
              <w14:schemeClr w14:val="tx1"/>
            </w14:solidFill>
          </w14:textFill>
        </w:rPr>
      </w:pPr>
      <w:bookmarkStart w:id="31" w:name="_Toc12132"/>
      <w:bookmarkStart w:id="32" w:name="_Toc8029"/>
      <w:r>
        <w:rPr>
          <w:rFonts w:hint="eastAsia" w:ascii="楷体" w:hAnsi="楷体" w:eastAsia="楷体" w:cs="楷体"/>
          <w:b/>
          <w:bCs/>
          <w:color w:val="000000" w:themeColor="text1"/>
          <w:sz w:val="32"/>
          <w:szCs w:val="32"/>
          <w14:textFill>
            <w14:solidFill>
              <w14:schemeClr w14:val="tx1"/>
            </w14:solidFill>
          </w14:textFill>
        </w:rPr>
        <w:t>（一）公共基础课程</w:t>
      </w:r>
      <w:bookmarkEnd w:id="31"/>
      <w:bookmarkEnd w:id="3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公共基础课程</w:t>
      </w:r>
      <w:r>
        <w:rPr>
          <w:rFonts w:hint="eastAsia" w:ascii="仿宋" w:hAnsi="仿宋" w:eastAsia="仿宋" w:cs="仿宋"/>
          <w:color w:val="000000" w:themeColor="text1"/>
          <w:sz w:val="32"/>
          <w:szCs w:val="32"/>
          <w:lang w:val="en-US" w:eastAsia="zh-CN"/>
          <w14:textFill>
            <w14:solidFill>
              <w14:schemeClr w14:val="tx1"/>
            </w14:solidFill>
          </w14:textFill>
        </w:rPr>
        <w:t>见表1-3。</w:t>
      </w:r>
    </w:p>
    <w:p>
      <w:pPr>
        <w:spacing w:line="560" w:lineRule="exact"/>
        <w:jc w:val="left"/>
        <w:rPr>
          <w:rFonts w:hint="eastAsia" w:ascii="仿宋" w:hAnsi="仿宋" w:eastAsia="仿宋" w:cs="仿宋"/>
          <w:b w:val="0"/>
          <w:bCs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color w:val="000000" w:themeColor="text1"/>
          <w:sz w:val="28"/>
          <w:szCs w:val="28"/>
          <w:lang w:val="en-US" w:eastAsia="zh-CN"/>
          <w14:textFill>
            <w14:solidFill>
              <w14:schemeClr w14:val="tx1"/>
            </w14:solidFill>
          </w14:textFill>
        </w:rPr>
        <w:t xml:space="preserve">表1-3                    </w:t>
      </w:r>
      <w:r>
        <w:rPr>
          <w:rFonts w:hint="eastAsia" w:ascii="仿宋" w:hAnsi="仿宋" w:eastAsia="仿宋" w:cs="仿宋"/>
          <w:b w:val="0"/>
          <w:bCs w:val="0"/>
          <w:color w:val="000000" w:themeColor="text1"/>
          <w:sz w:val="28"/>
          <w:szCs w:val="28"/>
          <w14:textFill>
            <w14:solidFill>
              <w14:schemeClr w14:val="tx1"/>
            </w14:solidFill>
          </w14:textFill>
        </w:rPr>
        <w:t>公共基础课程</w:t>
      </w:r>
    </w:p>
    <w:tbl>
      <w:tblPr>
        <w:tblStyle w:val="10"/>
        <w:tblW w:w="8398" w:type="dxa"/>
        <w:jc w:val="center"/>
        <w:tblLayout w:type="autofit"/>
        <w:tblCellMar>
          <w:top w:w="0" w:type="dxa"/>
          <w:left w:w="108" w:type="dxa"/>
          <w:bottom w:w="0" w:type="dxa"/>
          <w:right w:w="108" w:type="dxa"/>
        </w:tblCellMar>
      </w:tblPr>
      <w:tblGrid>
        <w:gridCol w:w="729"/>
        <w:gridCol w:w="1185"/>
        <w:gridCol w:w="6484"/>
      </w:tblGrid>
      <w:tr>
        <w:tblPrEx>
          <w:tblCellMar>
            <w:top w:w="0" w:type="dxa"/>
            <w:left w:w="108" w:type="dxa"/>
            <w:bottom w:w="0" w:type="dxa"/>
            <w:right w:w="108" w:type="dxa"/>
          </w:tblCellMar>
        </w:tblPrEx>
        <w:trPr>
          <w:trHeight w:val="441" w:hRule="atLeast"/>
          <w:jc w:val="center"/>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序号</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课程名称</w:t>
            </w:r>
          </w:p>
        </w:tc>
        <w:tc>
          <w:tcPr>
            <w:tcW w:w="6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kern w:val="0"/>
                <w:sz w:val="24"/>
                <w:szCs w:val="24"/>
                <w:lang w:bidi="ar"/>
              </w:rPr>
              <w:t>主要内容和教学要求</w:t>
            </w:r>
          </w:p>
        </w:tc>
      </w:tr>
      <w:tr>
        <w:tblPrEx>
          <w:tblCellMar>
            <w:top w:w="0" w:type="dxa"/>
            <w:left w:w="108" w:type="dxa"/>
            <w:bottom w:w="0" w:type="dxa"/>
            <w:right w:w="108" w:type="dxa"/>
          </w:tblCellMar>
        </w:tblPrEx>
        <w:trPr>
          <w:trHeight w:val="2127" w:hRule="atLeast"/>
          <w:jc w:val="center"/>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数学</w:t>
            </w:r>
          </w:p>
        </w:tc>
        <w:tc>
          <w:tcPr>
            <w:tcW w:w="6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依据《中等职业学校数学课程标准(2020年版)》开设</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bidi="ar"/>
              </w:rPr>
              <w:t>通过本课程学习，使学生</w:t>
            </w:r>
            <w:r>
              <w:rPr>
                <w:rFonts w:hint="eastAsia" w:ascii="仿宋" w:hAnsi="仿宋" w:eastAsia="仿宋" w:cs="仿宋"/>
                <w:color w:val="000000"/>
                <w:kern w:val="0"/>
                <w:sz w:val="24"/>
                <w:szCs w:val="24"/>
                <w:lang w:val="en-US" w:eastAsia="zh-CN" w:bidi="ar"/>
              </w:rPr>
              <w:t>获得进一步学习和</w:t>
            </w:r>
            <w:r>
              <w:rPr>
                <w:rFonts w:hint="eastAsia" w:ascii="仿宋" w:hAnsi="仿宋" w:eastAsia="仿宋" w:cs="仿宋"/>
                <w:color w:val="000000"/>
                <w:kern w:val="0"/>
                <w:sz w:val="24"/>
                <w:szCs w:val="24"/>
                <w:lang w:bidi="ar"/>
              </w:rPr>
              <w:t>职业发展所必需的数学知识、数学技能、数学方法</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bidi="ar"/>
              </w:rPr>
              <w:t>数学思想和</w:t>
            </w:r>
            <w:r>
              <w:rPr>
                <w:rFonts w:hint="eastAsia" w:ascii="仿宋" w:hAnsi="仿宋" w:eastAsia="仿宋" w:cs="仿宋"/>
                <w:color w:val="000000"/>
                <w:kern w:val="0"/>
                <w:sz w:val="24"/>
                <w:szCs w:val="24"/>
                <w:lang w:val="en-US" w:eastAsia="zh-CN" w:bidi="ar"/>
              </w:rPr>
              <w:t>活动经验</w:t>
            </w:r>
            <w:r>
              <w:rPr>
                <w:rFonts w:hint="eastAsia" w:ascii="仿宋" w:hAnsi="仿宋" w:eastAsia="仿宋" w:cs="仿宋"/>
                <w:color w:val="000000"/>
                <w:kern w:val="0"/>
                <w:sz w:val="24"/>
                <w:szCs w:val="24"/>
                <w:lang w:bidi="ar"/>
              </w:rPr>
              <w:t>，具备中等职业教育数学学科核心素养，形成在继续学习和未来工作中运用数学知识和经验发现问题的意识、运用数学的思想方法和工具解决问题的能力。</w:t>
            </w:r>
          </w:p>
        </w:tc>
      </w:tr>
      <w:tr>
        <w:tblPrEx>
          <w:tblCellMar>
            <w:top w:w="0" w:type="dxa"/>
            <w:left w:w="108" w:type="dxa"/>
            <w:bottom w:w="0" w:type="dxa"/>
            <w:right w:w="108" w:type="dxa"/>
          </w:tblCellMar>
        </w:tblPrEx>
        <w:trPr>
          <w:trHeight w:val="1900" w:hRule="atLeast"/>
          <w:jc w:val="center"/>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2</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语文</w:t>
            </w:r>
          </w:p>
        </w:tc>
        <w:tc>
          <w:tcPr>
            <w:tcW w:w="6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4"/>
                <w:szCs w:val="24"/>
                <w:lang w:eastAsia="zh-CN" w:bidi="ar"/>
              </w:rPr>
            </w:pPr>
            <w:r>
              <w:rPr>
                <w:rFonts w:hint="eastAsia" w:ascii="仿宋" w:hAnsi="仿宋" w:eastAsia="仿宋" w:cs="仿宋"/>
                <w:color w:val="000000"/>
                <w:kern w:val="0"/>
                <w:sz w:val="24"/>
                <w:szCs w:val="24"/>
                <w:lang w:bidi="ar"/>
              </w:rPr>
              <w:t>依据《中等职业学校语文课程标准(2020年版)》开设。通过阅读与欣赏、表达与交流和语文综合实践等学习活动，使学生具有较强的语言文字运用能力和思维能力，能够传承中华民族优秀</w:t>
            </w:r>
            <w:r>
              <w:rPr>
                <w:rFonts w:hint="eastAsia" w:ascii="仿宋" w:hAnsi="仿宋" w:eastAsia="仿宋" w:cs="仿宋"/>
                <w:color w:val="000000"/>
                <w:kern w:val="0"/>
                <w:sz w:val="24"/>
                <w:szCs w:val="24"/>
                <w:lang w:val="en-US" w:eastAsia="zh-CN" w:bidi="ar"/>
              </w:rPr>
              <w:t>文化</w:t>
            </w:r>
            <w:r>
              <w:rPr>
                <w:rFonts w:hint="eastAsia" w:ascii="仿宋" w:hAnsi="仿宋" w:eastAsia="仿宋" w:cs="仿宋"/>
                <w:color w:val="000000"/>
                <w:kern w:val="0"/>
                <w:sz w:val="24"/>
                <w:szCs w:val="24"/>
                <w:lang w:bidi="ar"/>
              </w:rPr>
              <w:t>，吸收人类进步文化，提高人文素养，养成良好道德品质，成为全面发展的高素质技能技术人才</w:t>
            </w:r>
            <w:r>
              <w:rPr>
                <w:rFonts w:hint="eastAsia" w:ascii="仿宋" w:hAnsi="仿宋" w:eastAsia="仿宋" w:cs="仿宋"/>
                <w:color w:val="000000"/>
                <w:kern w:val="0"/>
                <w:sz w:val="24"/>
                <w:szCs w:val="24"/>
                <w:lang w:eastAsia="zh-CN" w:bidi="ar"/>
              </w:rPr>
              <w:t>。</w:t>
            </w:r>
          </w:p>
        </w:tc>
      </w:tr>
      <w:tr>
        <w:tblPrEx>
          <w:tblCellMar>
            <w:top w:w="0" w:type="dxa"/>
            <w:left w:w="108" w:type="dxa"/>
            <w:bottom w:w="0" w:type="dxa"/>
            <w:right w:w="108" w:type="dxa"/>
          </w:tblCellMar>
        </w:tblPrEx>
        <w:trPr>
          <w:trHeight w:val="1845" w:hRule="atLeast"/>
          <w:jc w:val="center"/>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3</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英语</w:t>
            </w:r>
          </w:p>
        </w:tc>
        <w:tc>
          <w:tcPr>
            <w:tcW w:w="6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4"/>
                <w:szCs w:val="24"/>
                <w:lang w:eastAsia="zh-CN" w:bidi="ar"/>
              </w:rPr>
            </w:pPr>
            <w:r>
              <w:rPr>
                <w:rFonts w:hint="eastAsia" w:ascii="仿宋" w:hAnsi="仿宋" w:eastAsia="仿宋" w:cs="仿宋"/>
                <w:color w:val="000000"/>
                <w:kern w:val="0"/>
                <w:sz w:val="24"/>
                <w:szCs w:val="24"/>
                <w:lang w:bidi="ar"/>
              </w:rPr>
              <w:t>依据《中等职业学校语英语课程标准(2020年版)》开设。通过本课程学习，使学生掌握一定的英语基础知识</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val="en-US" w:eastAsia="zh-CN" w:bidi="ar"/>
              </w:rPr>
              <w:t>提高听、说、读、写等语言技能，</w:t>
            </w:r>
            <w:r>
              <w:rPr>
                <w:rFonts w:hint="eastAsia" w:ascii="仿宋" w:hAnsi="仿宋" w:eastAsia="仿宋" w:cs="仿宋"/>
                <w:color w:val="000000"/>
                <w:kern w:val="0"/>
                <w:sz w:val="24"/>
                <w:szCs w:val="24"/>
                <w:lang w:bidi="ar"/>
              </w:rPr>
              <w:t>培养学生在日常生活和职业场景中的英语应用能力</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val="en-US" w:eastAsia="zh-CN" w:bidi="ar"/>
              </w:rPr>
              <w:t>发展英语学科核心素养，为</w:t>
            </w:r>
            <w:r>
              <w:rPr>
                <w:rFonts w:hint="eastAsia" w:ascii="仿宋" w:hAnsi="仿宋" w:eastAsia="仿宋" w:cs="仿宋"/>
                <w:color w:val="000000"/>
                <w:kern w:val="0"/>
                <w:sz w:val="24"/>
                <w:szCs w:val="24"/>
                <w:lang w:bidi="ar"/>
              </w:rPr>
              <w:t>学生的职业生涯、继续学习和终身发展莫定基础</w:t>
            </w:r>
            <w:r>
              <w:rPr>
                <w:rFonts w:hint="eastAsia" w:ascii="仿宋" w:hAnsi="仿宋" w:eastAsia="仿宋" w:cs="仿宋"/>
                <w:color w:val="000000"/>
                <w:kern w:val="0"/>
                <w:sz w:val="24"/>
                <w:szCs w:val="24"/>
                <w:lang w:eastAsia="zh-CN" w:bidi="ar"/>
              </w:rPr>
              <w:t>。</w:t>
            </w:r>
          </w:p>
        </w:tc>
      </w:tr>
      <w:tr>
        <w:tblPrEx>
          <w:tblCellMar>
            <w:top w:w="0" w:type="dxa"/>
            <w:left w:w="108" w:type="dxa"/>
            <w:bottom w:w="0" w:type="dxa"/>
            <w:right w:w="108" w:type="dxa"/>
          </w:tblCellMar>
        </w:tblPrEx>
        <w:trPr>
          <w:trHeight w:val="1607" w:hRule="atLeast"/>
          <w:jc w:val="center"/>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4</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信息技术</w:t>
            </w:r>
          </w:p>
        </w:tc>
        <w:tc>
          <w:tcPr>
            <w:tcW w:w="6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依据《中等职业学校信息技术课程标准(2020 年版)》开设。通过本课程学习，使学生掌握必备的计算机应用基础知识和基本技能，</w:t>
            </w:r>
            <w:r>
              <w:rPr>
                <w:rFonts w:hint="eastAsia" w:ascii="仿宋" w:hAnsi="仿宋" w:eastAsia="仿宋" w:cs="仿宋"/>
                <w:color w:val="000000"/>
                <w:w w:val="100"/>
                <w:kern w:val="0"/>
                <w:sz w:val="24"/>
                <w:szCs w:val="24"/>
                <w:lang w:bidi="ar"/>
              </w:rPr>
              <w:t>培养学生</w:t>
            </w:r>
            <w:r>
              <w:rPr>
                <w:rFonts w:hint="eastAsia" w:ascii="仿宋" w:hAnsi="仿宋" w:eastAsia="仿宋" w:cs="仿宋"/>
                <w:color w:val="000000"/>
                <w:w w:val="100"/>
                <w:kern w:val="0"/>
                <w:sz w:val="24"/>
                <w:szCs w:val="24"/>
                <w:lang w:val="en-US" w:eastAsia="zh-CN" w:bidi="ar"/>
              </w:rPr>
              <w:t>符合时代要求的信息素养和适应职业发展需要的信息能力。</w:t>
            </w:r>
          </w:p>
        </w:tc>
      </w:tr>
      <w:tr>
        <w:tblPrEx>
          <w:tblCellMar>
            <w:top w:w="0" w:type="dxa"/>
            <w:left w:w="108" w:type="dxa"/>
            <w:bottom w:w="0" w:type="dxa"/>
            <w:right w:w="108" w:type="dxa"/>
          </w:tblCellMar>
        </w:tblPrEx>
        <w:trPr>
          <w:trHeight w:val="1607" w:hRule="atLeast"/>
          <w:jc w:val="center"/>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5</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中国特色社会主义</w:t>
            </w:r>
          </w:p>
        </w:tc>
        <w:tc>
          <w:tcPr>
            <w:tcW w:w="6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依据《中等职业学校思想政治课程标准 (2020年版》开设。通过本课程学习，使学生理解中国特色社会主义理论体系的基本内容和科学方法，帮助学生正确理解这一理论体系基本理论观点，深刻理解党在社会主义初级阶段的基本路线、基本纲领和基本要求，准确把握建设中国特色社会主义的总依据、总任务和总布局，坚定在党的领导下走中国特色社会主义道路的理想信念，为全面建成小康社会、实现中华民族伟大复兴而努力奋斗。</w:t>
            </w:r>
          </w:p>
        </w:tc>
      </w:tr>
      <w:tr>
        <w:tblPrEx>
          <w:tblCellMar>
            <w:top w:w="0" w:type="dxa"/>
            <w:left w:w="108" w:type="dxa"/>
            <w:bottom w:w="0" w:type="dxa"/>
            <w:right w:w="108" w:type="dxa"/>
          </w:tblCellMar>
        </w:tblPrEx>
        <w:trPr>
          <w:trHeight w:val="2698" w:hRule="atLeast"/>
          <w:jc w:val="center"/>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6</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心理健康与职业生涯</w:t>
            </w:r>
          </w:p>
        </w:tc>
        <w:tc>
          <w:tcPr>
            <w:tcW w:w="6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依据《中等职业学校思想政治课程标准 (2020年版)》开设。通过本课程学习，使学生掌握心理健康的基本知识、方法和意识的教育，帮助学生正确处理成长、学习、生活和求职就业中遇到的心理行为问题，促进其身心和谐健康发展。引导学生树立正确的职业观念和职业理想，学会根据社会需要和自身特点进行职业生涯规划，并以此规范和调整自己的行为，为顺利就业创业创造条件。</w:t>
            </w:r>
          </w:p>
        </w:tc>
      </w:tr>
      <w:tr>
        <w:tblPrEx>
          <w:tblCellMar>
            <w:top w:w="0" w:type="dxa"/>
            <w:left w:w="108" w:type="dxa"/>
            <w:bottom w:w="0" w:type="dxa"/>
            <w:right w:w="108" w:type="dxa"/>
          </w:tblCellMar>
        </w:tblPrEx>
        <w:trPr>
          <w:trHeight w:val="2201" w:hRule="atLeast"/>
          <w:jc w:val="center"/>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7</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哲学与人生</w:t>
            </w:r>
          </w:p>
        </w:tc>
        <w:tc>
          <w:tcPr>
            <w:tcW w:w="6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依据《中等职业学校思想政治课程标准 (2020年版)》开设。通过本课程学习，使学生掌握马克思主义哲学基本观点和方法，帮助学生学习运用辩证唯物主义和历史唯物主义的观点和方法，正确看待自然、社会的发展，正确认识和处理人生发展中的基本问题，树立和追求崇高理想，逐步形成正确的世界观、人生观和价值观。</w:t>
            </w:r>
          </w:p>
        </w:tc>
      </w:tr>
      <w:tr>
        <w:tblPrEx>
          <w:tblCellMar>
            <w:top w:w="0" w:type="dxa"/>
            <w:left w:w="108" w:type="dxa"/>
            <w:bottom w:w="0" w:type="dxa"/>
            <w:right w:w="108" w:type="dxa"/>
          </w:tblCellMar>
        </w:tblPrEx>
        <w:trPr>
          <w:trHeight w:val="1577" w:hRule="atLeast"/>
          <w:jc w:val="center"/>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8</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职业道德与法治</w:t>
            </w:r>
          </w:p>
        </w:tc>
        <w:tc>
          <w:tcPr>
            <w:tcW w:w="6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依据《中等职业学校思想政治课程标准 (2020年版)》开设。通过本课程学习，使学生掌握职业道德的作用和基本规范，增强职业道德和法治意识，养成爱岗敬业、依法办事的思维方式和行为习惯</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bidi="ar"/>
              </w:rPr>
              <w:t>成为懂法、守法、用法的公民。</w:t>
            </w:r>
          </w:p>
        </w:tc>
      </w:tr>
      <w:tr>
        <w:tblPrEx>
          <w:tblCellMar>
            <w:top w:w="0" w:type="dxa"/>
            <w:left w:w="108" w:type="dxa"/>
            <w:bottom w:w="0" w:type="dxa"/>
            <w:right w:w="108" w:type="dxa"/>
          </w:tblCellMar>
        </w:tblPrEx>
        <w:trPr>
          <w:trHeight w:val="1965" w:hRule="atLeast"/>
          <w:jc w:val="center"/>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9</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体育与健康</w:t>
            </w:r>
          </w:p>
        </w:tc>
        <w:tc>
          <w:tcPr>
            <w:tcW w:w="6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依据《中等职业学校体育与健康课程标准(2020年版)》开设。通过本课程学习，使学生掌握体育基本理论知识、技术、技能和科学锻炼身体的方法，培养自主锻炼、自我保健、自我评价和自我调控的意识,全面提高身心素质和社会适应能力，为终身锻炼、继续学习与创业立业奠定基础。</w:t>
            </w:r>
          </w:p>
        </w:tc>
      </w:tr>
      <w:tr>
        <w:tblPrEx>
          <w:tblCellMar>
            <w:top w:w="0" w:type="dxa"/>
            <w:left w:w="108" w:type="dxa"/>
            <w:bottom w:w="0" w:type="dxa"/>
            <w:right w:w="108" w:type="dxa"/>
          </w:tblCellMar>
        </w:tblPrEx>
        <w:trPr>
          <w:trHeight w:val="2006" w:hRule="atLeast"/>
          <w:jc w:val="center"/>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sz w:val="24"/>
                <w:szCs w:val="24"/>
                <w:lang w:eastAsia="zh-CN"/>
              </w:rPr>
            </w:pPr>
            <w:r>
              <w:rPr>
                <w:rFonts w:hint="eastAsia" w:ascii="仿宋" w:hAnsi="仿宋" w:eastAsia="仿宋" w:cs="仿宋"/>
                <w:color w:val="000000"/>
                <w:kern w:val="0"/>
                <w:sz w:val="24"/>
                <w:szCs w:val="24"/>
                <w:lang w:bidi="ar"/>
              </w:rPr>
              <w:t>1</w:t>
            </w:r>
            <w:r>
              <w:rPr>
                <w:rFonts w:hint="eastAsia" w:ascii="仿宋" w:hAnsi="仿宋" w:eastAsia="仿宋" w:cs="仿宋"/>
                <w:color w:val="000000"/>
                <w:kern w:val="0"/>
                <w:sz w:val="24"/>
                <w:szCs w:val="24"/>
                <w:lang w:val="en-US" w:eastAsia="zh-CN" w:bidi="ar"/>
              </w:rPr>
              <w:t>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sz w:val="24"/>
                <w:szCs w:val="24"/>
                <w:highlight w:val="yellow"/>
              </w:rPr>
            </w:pPr>
            <w:r>
              <w:rPr>
                <w:rFonts w:hint="eastAsia" w:ascii="仿宋" w:hAnsi="仿宋" w:eastAsia="仿宋" w:cs="仿宋"/>
                <w:color w:val="000000"/>
                <w:kern w:val="0"/>
                <w:sz w:val="24"/>
                <w:szCs w:val="24"/>
                <w:highlight w:val="none"/>
                <w:lang w:bidi="ar"/>
              </w:rPr>
              <w:t>历史</w:t>
            </w:r>
          </w:p>
        </w:tc>
        <w:tc>
          <w:tcPr>
            <w:tcW w:w="6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依据《中等职业学校历史课程标准(2020 年版)》开设</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bidi="ar"/>
              </w:rPr>
              <w:t>通过本课程学习，使学生了解人类社会发展的基本脉络和优秀文化传统，从历史的角度了解和思考人与人</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bidi="ar"/>
              </w:rPr>
              <w:t>人与社会、人与自然的关系，增强历史使命感和社会责任感;培育社会主义核心价值观，进一步弘扬以爱国主义为核心的民族精神和以改革创新为核心的时代精神</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bidi="ar"/>
              </w:rPr>
              <w:t>培养健全的人格，树立正确的历史观、人生观和价值观，为中等职业学校学生未来的学习、工作和生活打下基础。</w:t>
            </w:r>
          </w:p>
        </w:tc>
      </w:tr>
      <w:tr>
        <w:tblPrEx>
          <w:tblCellMar>
            <w:top w:w="0" w:type="dxa"/>
            <w:left w:w="108" w:type="dxa"/>
            <w:bottom w:w="0" w:type="dxa"/>
            <w:right w:w="108" w:type="dxa"/>
          </w:tblCellMar>
        </w:tblPrEx>
        <w:trPr>
          <w:trHeight w:val="1607" w:hRule="atLeast"/>
          <w:jc w:val="center"/>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4"/>
                <w:szCs w:val="24"/>
                <w:lang w:eastAsia="zh-CN" w:bidi="ar"/>
              </w:rPr>
            </w:pPr>
            <w:r>
              <w:rPr>
                <w:rFonts w:hint="eastAsia" w:ascii="仿宋" w:hAnsi="仿宋" w:eastAsia="仿宋" w:cs="仿宋"/>
                <w:color w:val="000000"/>
                <w:kern w:val="0"/>
                <w:sz w:val="24"/>
                <w:szCs w:val="24"/>
                <w:lang w:bidi="ar"/>
              </w:rPr>
              <w:t>1</w:t>
            </w:r>
            <w:r>
              <w:rPr>
                <w:rFonts w:hint="eastAsia" w:ascii="仿宋" w:hAnsi="仿宋" w:eastAsia="仿宋" w:cs="仿宋"/>
                <w:color w:val="000000"/>
                <w:kern w:val="0"/>
                <w:sz w:val="24"/>
                <w:szCs w:val="24"/>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音乐欣赏</w:t>
            </w:r>
          </w:p>
        </w:tc>
        <w:tc>
          <w:tcPr>
            <w:tcW w:w="6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依据《中等职业学校艺术课程标准(2020年版)》开设</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bidi="ar"/>
              </w:rPr>
              <w:t>学生通过聆听中外经典音乐作品，参与音乐鉴赏与实践活动，认识音乐的基本功能与作用，获得精神愉悦，提高审美情趣和音乐实践能力。</w:t>
            </w:r>
          </w:p>
        </w:tc>
      </w:tr>
      <w:tr>
        <w:tblPrEx>
          <w:tblCellMar>
            <w:top w:w="0" w:type="dxa"/>
            <w:left w:w="108" w:type="dxa"/>
            <w:bottom w:w="0" w:type="dxa"/>
            <w:right w:w="108" w:type="dxa"/>
          </w:tblCellMar>
        </w:tblPrEx>
        <w:trPr>
          <w:trHeight w:val="2006" w:hRule="atLeast"/>
          <w:jc w:val="center"/>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4"/>
                <w:szCs w:val="24"/>
                <w:lang w:eastAsia="zh-CN" w:bidi="ar"/>
              </w:rPr>
            </w:pPr>
            <w:r>
              <w:rPr>
                <w:rFonts w:hint="eastAsia" w:ascii="仿宋" w:hAnsi="仿宋" w:eastAsia="仿宋" w:cs="仿宋"/>
                <w:color w:val="000000"/>
                <w:kern w:val="0"/>
                <w:sz w:val="24"/>
                <w:szCs w:val="24"/>
                <w:lang w:bidi="ar"/>
              </w:rPr>
              <w:t>1</w:t>
            </w:r>
            <w:r>
              <w:rPr>
                <w:rFonts w:hint="eastAsia" w:ascii="仿宋" w:hAnsi="仿宋" w:eastAsia="仿宋" w:cs="仿宋"/>
                <w:color w:val="000000"/>
                <w:kern w:val="0"/>
                <w:sz w:val="24"/>
                <w:szCs w:val="24"/>
                <w:lang w:val="en-US" w:eastAsia="zh-CN" w:bidi="ar"/>
              </w:rPr>
              <w:t>2</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美术欣赏</w:t>
            </w:r>
          </w:p>
        </w:tc>
        <w:tc>
          <w:tcPr>
            <w:tcW w:w="6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依据《中等职业学校艺术课程标准(2020年版)》开设</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bidi="ar"/>
              </w:rPr>
              <w:t>学生通过观察、体验、赏析、评判等活动，学习美术知识和技能，欣赏美术作品，了解作品主题，感悟作品情感，理解作品内涵，认识美术的基本功能与作用，提高审美情趣和美术实践能力。</w:t>
            </w:r>
          </w:p>
        </w:tc>
      </w:tr>
      <w:tr>
        <w:tblPrEx>
          <w:tblCellMar>
            <w:top w:w="0" w:type="dxa"/>
            <w:left w:w="108" w:type="dxa"/>
            <w:bottom w:w="0" w:type="dxa"/>
            <w:right w:w="108" w:type="dxa"/>
          </w:tblCellMar>
        </w:tblPrEx>
        <w:trPr>
          <w:trHeight w:val="787" w:hRule="atLeast"/>
          <w:jc w:val="center"/>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13</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0"/>
                <w:sz w:val="24"/>
                <w:szCs w:val="24"/>
                <w:lang w:bidi="ar"/>
              </w:rPr>
              <w:t>书法</w:t>
            </w:r>
          </w:p>
        </w:tc>
        <w:tc>
          <w:tcPr>
            <w:tcW w:w="6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bidi="ar"/>
              </w:rPr>
              <w:t>通过本课程学习，使学生了解汉字的结构规律，养成良好的书写习惯,写得一手好字。</w:t>
            </w:r>
          </w:p>
        </w:tc>
      </w:tr>
      <w:tr>
        <w:tblPrEx>
          <w:tblCellMar>
            <w:top w:w="0" w:type="dxa"/>
            <w:left w:w="108" w:type="dxa"/>
            <w:bottom w:w="0" w:type="dxa"/>
            <w:right w:w="108" w:type="dxa"/>
          </w:tblCellMar>
        </w:tblPrEx>
        <w:trPr>
          <w:trHeight w:val="1208" w:hRule="atLeast"/>
          <w:jc w:val="center"/>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14</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0"/>
                <w:sz w:val="24"/>
                <w:szCs w:val="24"/>
                <w:lang w:bidi="ar"/>
              </w:rPr>
              <w:t>礼乐修身</w:t>
            </w:r>
          </w:p>
        </w:tc>
        <w:tc>
          <w:tcPr>
            <w:tcW w:w="6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bidi="ar"/>
              </w:rPr>
              <w:t>通过本课程学习，使学生掌握中外礼仪基本概况及礼仪的核心精神，使学生成为有教养、有修养、有素养、有涵养的合格职业人。</w:t>
            </w:r>
          </w:p>
        </w:tc>
      </w:tr>
      <w:tr>
        <w:tblPrEx>
          <w:tblCellMar>
            <w:top w:w="0" w:type="dxa"/>
            <w:left w:w="108" w:type="dxa"/>
            <w:bottom w:w="0" w:type="dxa"/>
            <w:right w:w="108" w:type="dxa"/>
          </w:tblCellMar>
        </w:tblPrEx>
        <w:trPr>
          <w:trHeight w:val="1620" w:hRule="atLeast"/>
          <w:jc w:val="center"/>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15</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i w:val="0"/>
                <w:iCs w:val="0"/>
                <w:color w:val="000000"/>
                <w:kern w:val="0"/>
                <w:sz w:val="24"/>
                <w:szCs w:val="24"/>
                <w:u w:val="none"/>
                <w:lang w:val="en-US" w:eastAsia="zh-CN" w:bidi="ar"/>
              </w:rPr>
              <w:t>劳动教育</w:t>
            </w:r>
          </w:p>
        </w:tc>
        <w:tc>
          <w:tcPr>
            <w:tcW w:w="6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劳动教育以实习实训课为主要载体开展</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bidi="ar"/>
              </w:rPr>
              <w:t>通过劳动精神、劳模精神</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bidi="ar"/>
              </w:rPr>
              <w:t>工匠精神</w:t>
            </w:r>
            <w:r>
              <w:rPr>
                <w:rFonts w:hint="eastAsia" w:ascii="仿宋" w:hAnsi="仿宋" w:eastAsia="仿宋" w:cs="仿宋"/>
                <w:color w:val="000000"/>
                <w:kern w:val="0"/>
                <w:sz w:val="24"/>
                <w:szCs w:val="24"/>
                <w:lang w:val="en-US" w:eastAsia="zh-CN" w:bidi="ar"/>
              </w:rPr>
              <w:t>等</w:t>
            </w:r>
            <w:r>
              <w:rPr>
                <w:rFonts w:hint="eastAsia" w:ascii="仿宋" w:hAnsi="仿宋" w:eastAsia="仿宋" w:cs="仿宋"/>
                <w:color w:val="000000"/>
                <w:kern w:val="0"/>
                <w:sz w:val="24"/>
                <w:szCs w:val="24"/>
                <w:lang w:bidi="ar"/>
              </w:rPr>
              <w:t>专题教育学习，使学生</w:t>
            </w:r>
            <w:r>
              <w:rPr>
                <w:rFonts w:hint="eastAsia" w:ascii="仿宋" w:hAnsi="仿宋" w:eastAsia="仿宋" w:cs="仿宋"/>
                <w:i w:val="0"/>
                <w:iCs w:val="0"/>
                <w:color w:val="000000"/>
                <w:kern w:val="0"/>
                <w:sz w:val="24"/>
                <w:szCs w:val="24"/>
                <w:u w:val="none"/>
                <w:lang w:val="en-US" w:eastAsia="zh-CN" w:bidi="ar"/>
              </w:rPr>
              <w:t>在劳动中接受锻炼、磨炼意志，懂得劳动创造美好生活的道理，并培养良好的劳动品质。</w:t>
            </w:r>
          </w:p>
        </w:tc>
      </w:tr>
    </w:tbl>
    <w:p>
      <w:pPr>
        <w:numPr>
          <w:ilvl w:val="0"/>
          <w:numId w:val="1"/>
        </w:numPr>
        <w:spacing w:line="560" w:lineRule="exact"/>
        <w:ind w:firstLine="643" w:firstLineChars="200"/>
        <w:jc w:val="left"/>
        <w:outlineLvl w:val="1"/>
        <w:rPr>
          <w:rFonts w:ascii="楷体" w:hAnsi="楷体" w:eastAsia="楷体" w:cs="楷体"/>
          <w:b/>
          <w:bCs/>
          <w:color w:val="000000" w:themeColor="text1"/>
          <w:sz w:val="32"/>
          <w:szCs w:val="32"/>
          <w14:textFill>
            <w14:solidFill>
              <w14:schemeClr w14:val="tx1"/>
            </w14:solidFill>
          </w14:textFill>
        </w:rPr>
      </w:pPr>
      <w:bookmarkStart w:id="33" w:name="_Toc28304"/>
      <w:bookmarkStart w:id="34" w:name="_Toc20494"/>
      <w:r>
        <w:rPr>
          <w:rFonts w:hint="eastAsia" w:ascii="楷体" w:hAnsi="楷体" w:eastAsia="楷体" w:cs="楷体"/>
          <w:b/>
          <w:bCs/>
          <w:color w:val="000000" w:themeColor="text1"/>
          <w:sz w:val="32"/>
          <w:szCs w:val="32"/>
          <w14:textFill>
            <w14:solidFill>
              <w14:schemeClr w14:val="tx1"/>
            </w14:solidFill>
          </w14:textFill>
        </w:rPr>
        <w:t>专业（技能）课程</w:t>
      </w:r>
      <w:bookmarkEnd w:id="33"/>
      <w:bookmarkEnd w:id="34"/>
    </w:p>
    <w:p>
      <w:pPr>
        <w:spacing w:line="560" w:lineRule="exact"/>
        <w:ind w:firstLine="643" w:firstLineChars="200"/>
        <w:jc w:val="left"/>
        <w:outlineLvl w:val="2"/>
        <w:rPr>
          <w:rFonts w:hint="eastAsia" w:ascii="仿宋" w:hAnsi="仿宋" w:eastAsia="仿宋" w:cs="仿宋"/>
          <w:b/>
          <w:bCs/>
          <w:color w:val="000000" w:themeColor="text1"/>
          <w:sz w:val="32"/>
          <w:szCs w:val="32"/>
          <w:lang w:eastAsia="zh-CN"/>
          <w14:textFill>
            <w14:solidFill>
              <w14:schemeClr w14:val="tx1"/>
            </w14:solidFill>
          </w14:textFill>
        </w:rPr>
      </w:pPr>
      <w:bookmarkStart w:id="35" w:name="_Toc22718"/>
      <w:bookmarkStart w:id="36" w:name="_Toc26998"/>
      <w:r>
        <w:rPr>
          <w:rFonts w:hint="eastAsia" w:ascii="仿宋" w:hAnsi="仿宋" w:eastAsia="仿宋" w:cs="仿宋"/>
          <w:b/>
          <w:bCs/>
          <w:color w:val="000000" w:themeColor="text1"/>
          <w:sz w:val="32"/>
          <w:szCs w:val="32"/>
          <w14:textFill>
            <w14:solidFill>
              <w14:schemeClr w14:val="tx1"/>
            </w14:solidFill>
          </w14:textFill>
        </w:rPr>
        <w:t>1.专业理论课程</w:t>
      </w:r>
      <w:bookmarkEnd w:id="35"/>
      <w:bookmarkEnd w:id="3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专业理论课程见表1-4。</w:t>
      </w:r>
    </w:p>
    <w:p>
      <w:pPr>
        <w:spacing w:line="560" w:lineRule="exact"/>
        <w:jc w:val="left"/>
        <w:rPr>
          <w:rFonts w:hint="default" w:ascii="仿宋" w:hAnsi="仿宋" w:eastAsia="仿宋" w:cs="仿宋"/>
          <w:b w:val="0"/>
          <w:bCs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color w:val="000000" w:themeColor="text1"/>
          <w:sz w:val="28"/>
          <w:szCs w:val="28"/>
          <w:lang w:val="en-US" w:eastAsia="zh-CN"/>
          <w14:textFill>
            <w14:solidFill>
              <w14:schemeClr w14:val="tx1"/>
            </w14:solidFill>
          </w14:textFill>
        </w:rPr>
        <w:t>表1-4                    专业理论课程</w:t>
      </w:r>
    </w:p>
    <w:tbl>
      <w:tblPr>
        <w:tblStyle w:val="10"/>
        <w:tblW w:w="8598" w:type="dxa"/>
        <w:jc w:val="center"/>
        <w:tblLayout w:type="autofit"/>
        <w:tblCellMar>
          <w:top w:w="0" w:type="dxa"/>
          <w:left w:w="108" w:type="dxa"/>
          <w:bottom w:w="0" w:type="dxa"/>
          <w:right w:w="108" w:type="dxa"/>
        </w:tblCellMar>
      </w:tblPr>
      <w:tblGrid>
        <w:gridCol w:w="856"/>
        <w:gridCol w:w="2044"/>
        <w:gridCol w:w="5698"/>
      </w:tblGrid>
      <w:tr>
        <w:tblPrEx>
          <w:tblCellMar>
            <w:top w:w="0" w:type="dxa"/>
            <w:left w:w="108" w:type="dxa"/>
            <w:bottom w:w="0" w:type="dxa"/>
            <w:right w:w="108" w:type="dxa"/>
          </w:tblCellMar>
        </w:tblPrEx>
        <w:trPr>
          <w:trHeight w:val="460" w:hRule="atLeast"/>
          <w:jc w:val="center"/>
        </w:trPr>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b/>
                <w:bCs/>
                <w:color w:val="000000"/>
                <w:sz w:val="24"/>
                <w:szCs w:val="24"/>
              </w:rPr>
            </w:pPr>
            <w:r>
              <w:rPr>
                <w:rFonts w:hint="eastAsia" w:ascii="仿宋" w:hAnsi="仿宋" w:eastAsia="仿宋" w:cs="仿宋"/>
                <w:b/>
                <w:bCs/>
                <w:color w:val="000000"/>
                <w:kern w:val="0"/>
                <w:sz w:val="24"/>
                <w:szCs w:val="24"/>
                <w:lang w:bidi="ar"/>
              </w:rPr>
              <w:t>序号</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b/>
                <w:bCs/>
                <w:color w:val="000000"/>
                <w:sz w:val="24"/>
                <w:szCs w:val="24"/>
              </w:rPr>
            </w:pPr>
            <w:r>
              <w:rPr>
                <w:rFonts w:hint="eastAsia" w:ascii="仿宋" w:hAnsi="仿宋" w:eastAsia="仿宋" w:cs="仿宋"/>
                <w:b/>
                <w:bCs/>
                <w:color w:val="000000"/>
                <w:kern w:val="0"/>
                <w:sz w:val="24"/>
                <w:szCs w:val="24"/>
                <w:lang w:bidi="ar"/>
              </w:rPr>
              <w:t>课程名称</w:t>
            </w:r>
          </w:p>
        </w:tc>
        <w:tc>
          <w:tcPr>
            <w:tcW w:w="5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b/>
                <w:bCs/>
                <w:color w:val="000000"/>
                <w:sz w:val="24"/>
                <w:szCs w:val="24"/>
              </w:rPr>
            </w:pPr>
            <w:r>
              <w:rPr>
                <w:rFonts w:hint="eastAsia" w:ascii="仿宋" w:hAnsi="仿宋" w:eastAsia="仿宋" w:cs="仿宋"/>
                <w:b/>
                <w:bCs/>
                <w:color w:val="000000"/>
                <w:kern w:val="0"/>
                <w:sz w:val="24"/>
                <w:szCs w:val="24"/>
                <w:lang w:bidi="ar"/>
              </w:rPr>
              <w:t>主要内容和教学要求</w:t>
            </w:r>
          </w:p>
        </w:tc>
      </w:tr>
      <w:tr>
        <w:tblPrEx>
          <w:tblCellMar>
            <w:top w:w="0" w:type="dxa"/>
            <w:left w:w="108" w:type="dxa"/>
            <w:bottom w:w="0" w:type="dxa"/>
            <w:right w:w="108" w:type="dxa"/>
          </w:tblCellMar>
        </w:tblPrEx>
        <w:trPr>
          <w:trHeight w:val="2021" w:hRule="atLeast"/>
          <w:jc w:val="center"/>
        </w:trPr>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会计基础</w:t>
            </w:r>
          </w:p>
        </w:tc>
        <w:tc>
          <w:tcPr>
            <w:tcW w:w="5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掌握会计的职能、特点、对象及会计核算基本前提等基本理论。掌握会计要素、会计等式、会计科目和借贷记账法等基本知识。能够填制会计凭证、登记会计账簿、编制会计报表。使学生具备学习后续专业课程的专业基础能力，同时注重培养学生的会计基本职业素养。</w:t>
            </w:r>
          </w:p>
        </w:tc>
      </w:tr>
      <w:tr>
        <w:tblPrEx>
          <w:tblCellMar>
            <w:top w:w="0" w:type="dxa"/>
            <w:left w:w="108" w:type="dxa"/>
            <w:bottom w:w="0" w:type="dxa"/>
            <w:right w:w="108" w:type="dxa"/>
          </w:tblCellMar>
        </w:tblPrEx>
        <w:trPr>
          <w:trHeight w:val="772" w:hRule="atLeast"/>
          <w:jc w:val="center"/>
        </w:trPr>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企业财务会计</w:t>
            </w:r>
          </w:p>
        </w:tc>
        <w:tc>
          <w:tcPr>
            <w:tcW w:w="5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val="en-US" w:eastAsia="zh-CN" w:bidi="ar"/>
              </w:rPr>
              <w:t>课程主要内容包括：核算资金筹集业务；核算出纳业务；核算采购与应付业务；核算销售与应收业务；核算固定资产和无形资产业务；核算职工薪筹业务；核算与控制期间费用；核算财务成果；编制会计报表。通过课程的学习，能进行筹资、采购与应付、销售与应收、固定资产增减和折旧、无形资产增减和摊销、薪酬计算、现金日常盘点、报销、费用、利润及利润分配等业务的账务处理；会编制资产负债表和利润表。</w:t>
            </w:r>
          </w:p>
        </w:tc>
      </w:tr>
      <w:tr>
        <w:tblPrEx>
          <w:tblCellMar>
            <w:top w:w="0" w:type="dxa"/>
            <w:left w:w="108" w:type="dxa"/>
            <w:bottom w:w="0" w:type="dxa"/>
            <w:right w:w="108" w:type="dxa"/>
          </w:tblCellMar>
        </w:tblPrEx>
        <w:trPr>
          <w:trHeight w:val="793" w:hRule="atLeast"/>
          <w:jc w:val="center"/>
        </w:trPr>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仿宋" w:hAnsi="仿宋" w:eastAsia="仿宋" w:cs="仿宋"/>
                <w:color w:val="000000"/>
                <w:sz w:val="24"/>
                <w:szCs w:val="24"/>
                <w:highlight w:val="none"/>
                <w:lang w:val="en-US" w:eastAsia="zh-CN"/>
              </w:rPr>
            </w:pPr>
            <w:r>
              <w:rPr>
                <w:rFonts w:hint="eastAsia" w:ascii="仿宋" w:hAnsi="仿宋" w:eastAsia="仿宋" w:cs="仿宋"/>
                <w:color w:val="000000"/>
                <w:kern w:val="0"/>
                <w:sz w:val="24"/>
                <w:szCs w:val="24"/>
                <w:highlight w:val="none"/>
                <w:lang w:val="en-US" w:eastAsia="zh-CN" w:bidi="ar"/>
              </w:rPr>
              <w:t>税收基础</w:t>
            </w:r>
          </w:p>
        </w:tc>
        <w:tc>
          <w:tcPr>
            <w:tcW w:w="5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会办理增值税、消费税、个人所得税、企业所得税等税种的计算、申报和缴纳。</w:t>
            </w:r>
          </w:p>
        </w:tc>
      </w:tr>
      <w:tr>
        <w:tblPrEx>
          <w:tblCellMar>
            <w:top w:w="0" w:type="dxa"/>
            <w:left w:w="108" w:type="dxa"/>
            <w:bottom w:w="0" w:type="dxa"/>
            <w:right w:w="108" w:type="dxa"/>
          </w:tblCellMar>
        </w:tblPrEx>
        <w:trPr>
          <w:trHeight w:val="1261" w:hRule="atLeast"/>
          <w:jc w:val="center"/>
        </w:trPr>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财经法规与会计职业道德</w:t>
            </w:r>
          </w:p>
        </w:tc>
        <w:tc>
          <w:tcPr>
            <w:tcW w:w="5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 xml:space="preserve">能够识记、理解和辨析会计法律法规、支付结算法律制度、税收征管法律法规等主要条款内容，使学生明辨违背职业道德的财经行为。 </w:t>
            </w:r>
          </w:p>
        </w:tc>
      </w:tr>
      <w:tr>
        <w:tblPrEx>
          <w:tblCellMar>
            <w:top w:w="0" w:type="dxa"/>
            <w:left w:w="108" w:type="dxa"/>
            <w:bottom w:w="0" w:type="dxa"/>
            <w:right w:w="108" w:type="dxa"/>
          </w:tblCellMar>
        </w:tblPrEx>
        <w:trPr>
          <w:trHeight w:val="3504" w:hRule="atLeast"/>
          <w:jc w:val="center"/>
        </w:trPr>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5</w:t>
            </w:r>
          </w:p>
        </w:tc>
        <w:tc>
          <w:tcPr>
            <w:tcW w:w="2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电子票据技术应用</w:t>
            </w:r>
          </w:p>
        </w:tc>
        <w:tc>
          <w:tcPr>
            <w:tcW w:w="5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 xml:space="preserve">课程主要内容包括：电子票据的基础知识和分类方法；各类票据样式介绍；发票、结算票据的管理规定；增值税开票系统、增值税发票查验平台、增值税综合服务平台的基础操作；财务共享中心票据业务处理操作；电子票据的档案管理。通过本课程的学习，使学生全面掌握电子票据领购、开具、接收与整理、扫描与识别、查验、抵扣、归档等业务操作技能，培养学生严谨细致、精益求精的工匠精神。为后续专业核心课程和拓展课程中涉电子票据相关业务的学习打下坚实的基础。 </w:t>
            </w:r>
          </w:p>
        </w:tc>
      </w:tr>
    </w:tbl>
    <w:p>
      <w:pPr>
        <w:spacing w:line="560" w:lineRule="exact"/>
        <w:ind w:firstLine="643" w:firstLineChars="200"/>
        <w:jc w:val="left"/>
        <w:outlineLvl w:val="2"/>
        <w:rPr>
          <w:rFonts w:hint="eastAsia" w:ascii="仿宋" w:hAnsi="仿宋" w:eastAsia="仿宋" w:cs="仿宋"/>
          <w:b/>
          <w:bCs/>
          <w:color w:val="000000" w:themeColor="text1"/>
          <w:sz w:val="32"/>
          <w:szCs w:val="32"/>
          <w:lang w:eastAsia="zh-CN"/>
          <w14:textFill>
            <w14:solidFill>
              <w14:schemeClr w14:val="tx1"/>
            </w14:solidFill>
          </w14:textFill>
        </w:rPr>
      </w:pPr>
      <w:bookmarkStart w:id="37" w:name="_Toc18265"/>
      <w:bookmarkStart w:id="38" w:name="_Toc18550"/>
      <w:r>
        <w:rPr>
          <w:rFonts w:hint="eastAsia" w:ascii="仿宋" w:hAnsi="仿宋" w:eastAsia="仿宋" w:cs="仿宋"/>
          <w:b/>
          <w:bCs/>
          <w:color w:val="000000" w:themeColor="text1"/>
          <w:sz w:val="32"/>
          <w:szCs w:val="32"/>
          <w14:textFill>
            <w14:solidFill>
              <w14:schemeClr w14:val="tx1"/>
            </w14:solidFill>
          </w14:textFill>
        </w:rPr>
        <w:t>2.专业实训课程</w:t>
      </w:r>
      <w:bookmarkEnd w:id="37"/>
      <w:bookmarkEnd w:id="3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专业实训课程见表1-5。</w:t>
      </w:r>
    </w:p>
    <w:p>
      <w:pPr>
        <w:spacing w:line="560" w:lineRule="exact"/>
        <w:jc w:val="left"/>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28"/>
          <w:szCs w:val="28"/>
          <w:lang w:val="en-US" w:eastAsia="zh-CN"/>
          <w14:textFill>
            <w14:solidFill>
              <w14:schemeClr w14:val="tx1"/>
            </w14:solidFill>
          </w14:textFill>
        </w:rPr>
        <w:t>表1-5                     专业实训课程</w:t>
      </w:r>
    </w:p>
    <w:tbl>
      <w:tblPr>
        <w:tblStyle w:val="10"/>
        <w:tblW w:w="8759" w:type="dxa"/>
        <w:jc w:val="center"/>
        <w:tblLayout w:type="fixed"/>
        <w:tblCellMar>
          <w:top w:w="0" w:type="dxa"/>
          <w:left w:w="108" w:type="dxa"/>
          <w:bottom w:w="0" w:type="dxa"/>
          <w:right w:w="108" w:type="dxa"/>
        </w:tblCellMar>
      </w:tblPr>
      <w:tblGrid>
        <w:gridCol w:w="878"/>
        <w:gridCol w:w="2124"/>
        <w:gridCol w:w="5757"/>
      </w:tblGrid>
      <w:tr>
        <w:tblPrEx>
          <w:tblCellMar>
            <w:top w:w="0" w:type="dxa"/>
            <w:left w:w="108" w:type="dxa"/>
            <w:bottom w:w="0" w:type="dxa"/>
            <w:right w:w="108" w:type="dxa"/>
          </w:tblCellMar>
        </w:tblPrEx>
        <w:trPr>
          <w:trHeight w:val="451" w:hRule="atLeast"/>
          <w:jc w:val="center"/>
        </w:trPr>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b/>
                <w:bCs/>
                <w:color w:val="000000"/>
                <w:sz w:val="24"/>
                <w:szCs w:val="24"/>
              </w:rPr>
            </w:pPr>
            <w:r>
              <w:rPr>
                <w:rFonts w:hint="eastAsia" w:ascii="仿宋" w:hAnsi="仿宋" w:eastAsia="仿宋" w:cs="仿宋"/>
                <w:b/>
                <w:bCs/>
                <w:color w:val="000000"/>
                <w:kern w:val="0"/>
                <w:sz w:val="24"/>
                <w:szCs w:val="24"/>
                <w:lang w:bidi="ar"/>
              </w:rPr>
              <w:t>序号</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b/>
                <w:bCs/>
                <w:color w:val="000000"/>
                <w:sz w:val="24"/>
                <w:szCs w:val="24"/>
              </w:rPr>
            </w:pPr>
            <w:r>
              <w:rPr>
                <w:rFonts w:hint="eastAsia" w:ascii="仿宋" w:hAnsi="仿宋" w:eastAsia="仿宋" w:cs="仿宋"/>
                <w:b/>
                <w:bCs/>
                <w:color w:val="000000"/>
                <w:kern w:val="0"/>
                <w:sz w:val="24"/>
                <w:szCs w:val="24"/>
                <w:lang w:bidi="ar"/>
              </w:rPr>
              <w:t>课程名称</w:t>
            </w:r>
          </w:p>
        </w:tc>
        <w:tc>
          <w:tcPr>
            <w:tcW w:w="5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b/>
                <w:bCs/>
                <w:color w:val="000000"/>
                <w:sz w:val="24"/>
                <w:szCs w:val="24"/>
              </w:rPr>
            </w:pPr>
            <w:r>
              <w:rPr>
                <w:rFonts w:hint="eastAsia" w:ascii="仿宋" w:hAnsi="仿宋" w:eastAsia="仿宋" w:cs="仿宋"/>
                <w:b/>
                <w:bCs/>
                <w:color w:val="000000"/>
                <w:kern w:val="0"/>
                <w:sz w:val="24"/>
                <w:szCs w:val="24"/>
                <w:lang w:bidi="ar"/>
              </w:rPr>
              <w:t>主要内容和教学要求</w:t>
            </w:r>
          </w:p>
        </w:tc>
      </w:tr>
      <w:tr>
        <w:tblPrEx>
          <w:tblCellMar>
            <w:top w:w="0" w:type="dxa"/>
            <w:left w:w="108" w:type="dxa"/>
            <w:bottom w:w="0" w:type="dxa"/>
            <w:right w:w="108" w:type="dxa"/>
          </w:tblCellMar>
        </w:tblPrEx>
        <w:trPr>
          <w:trHeight w:val="1922" w:hRule="atLeast"/>
          <w:jc w:val="center"/>
        </w:trPr>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财经技能</w:t>
            </w:r>
          </w:p>
        </w:tc>
        <w:tc>
          <w:tcPr>
            <w:tcW w:w="5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4"/>
                <w:szCs w:val="24"/>
                <w:lang w:eastAsia="zh-CN" w:bidi="ar"/>
              </w:rPr>
            </w:pPr>
            <w:r>
              <w:rPr>
                <w:rFonts w:hint="eastAsia" w:ascii="仿宋" w:hAnsi="仿宋" w:eastAsia="仿宋" w:cs="仿宋"/>
                <w:color w:val="000000"/>
                <w:kern w:val="0"/>
                <w:sz w:val="24"/>
                <w:szCs w:val="24"/>
                <w:lang w:bidi="ar"/>
              </w:rPr>
              <w:t>加强会计数字书写技能、点钞技能、电子计算工具应用等会计基本技能和专业基础知识的学习，提高学生的基本专业素质，培差学生精益求精的工匠精神和吃苦耐劳的劳动精神，为学生从事会计相关工作莫定基础</w:t>
            </w:r>
            <w:r>
              <w:rPr>
                <w:rFonts w:hint="eastAsia" w:ascii="仿宋" w:hAnsi="仿宋" w:eastAsia="仿宋" w:cs="仿宋"/>
                <w:color w:val="000000"/>
                <w:kern w:val="0"/>
                <w:sz w:val="24"/>
                <w:szCs w:val="24"/>
                <w:lang w:eastAsia="zh-CN" w:bidi="ar"/>
              </w:rPr>
              <w:t>。</w:t>
            </w:r>
          </w:p>
        </w:tc>
      </w:tr>
      <w:tr>
        <w:tblPrEx>
          <w:tblCellMar>
            <w:top w:w="0" w:type="dxa"/>
            <w:left w:w="108" w:type="dxa"/>
            <w:bottom w:w="0" w:type="dxa"/>
            <w:right w:w="108" w:type="dxa"/>
          </w:tblCellMar>
        </w:tblPrEx>
        <w:trPr>
          <w:trHeight w:val="717" w:hRule="atLeast"/>
          <w:jc w:val="center"/>
        </w:trPr>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仿宋" w:hAnsi="仿宋" w:eastAsia="仿宋" w:cs="仿宋"/>
                <w:color w:val="000000"/>
                <w:sz w:val="24"/>
                <w:szCs w:val="24"/>
                <w:highlight w:val="none"/>
                <w:lang w:val="en-US" w:eastAsia="zh-CN"/>
              </w:rPr>
            </w:pPr>
            <w:r>
              <w:rPr>
                <w:rFonts w:hint="eastAsia" w:ascii="仿宋" w:hAnsi="仿宋" w:eastAsia="仿宋" w:cs="仿宋"/>
                <w:color w:val="000000"/>
                <w:kern w:val="0"/>
                <w:sz w:val="24"/>
                <w:szCs w:val="24"/>
                <w:highlight w:val="none"/>
                <w:lang w:bidi="ar"/>
              </w:rPr>
              <w:t>出纳</w:t>
            </w:r>
            <w:r>
              <w:rPr>
                <w:rFonts w:hint="eastAsia" w:ascii="仿宋" w:hAnsi="仿宋" w:eastAsia="仿宋" w:cs="仿宋"/>
                <w:color w:val="000000"/>
                <w:kern w:val="0"/>
                <w:sz w:val="24"/>
                <w:szCs w:val="24"/>
                <w:highlight w:val="none"/>
                <w:lang w:val="en-US" w:eastAsia="zh-CN" w:bidi="ar"/>
              </w:rPr>
              <w:t>与资金管理</w:t>
            </w:r>
          </w:p>
        </w:tc>
        <w:tc>
          <w:tcPr>
            <w:tcW w:w="5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val="en-US" w:eastAsia="zh-CN" w:bidi="ar"/>
              </w:rPr>
              <w:t>课程主要内容包括：审核资金收付业务流程；办理现金收付；办理银行结算；进行资金收付业务账务处理；实施现金盘点与银行对账；保管印鉴与票证；管理与供应商和客户往来账；编制资金报表等。通过课程的学习，能熟练操作收银设备工具，会处理账单卡券业务；会办理银行结算业务和利用第三方平台办理收付款手续；能规范、安全地保管现金、票据、印鉴等；了解银行对账RPA智能工具应用场景；会编制现金日报表、资金变动表、现金流量结余表等资金报表。</w:t>
            </w:r>
          </w:p>
        </w:tc>
      </w:tr>
      <w:tr>
        <w:tblPrEx>
          <w:tblCellMar>
            <w:top w:w="0" w:type="dxa"/>
            <w:left w:w="108" w:type="dxa"/>
            <w:bottom w:w="0" w:type="dxa"/>
            <w:right w:w="108" w:type="dxa"/>
          </w:tblCellMar>
        </w:tblPrEx>
        <w:trPr>
          <w:trHeight w:val="827" w:hRule="atLeast"/>
          <w:jc w:val="center"/>
        </w:trPr>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仿宋" w:hAnsi="仿宋" w:eastAsia="仿宋" w:cs="仿宋"/>
                <w:color w:val="000000"/>
                <w:sz w:val="24"/>
                <w:szCs w:val="24"/>
                <w:highlight w:val="none"/>
                <w:lang w:val="en-US" w:eastAsia="zh-CN"/>
              </w:rPr>
            </w:pPr>
            <w:r>
              <w:rPr>
                <w:rFonts w:hint="eastAsia" w:ascii="仿宋" w:hAnsi="仿宋" w:eastAsia="仿宋" w:cs="仿宋"/>
                <w:color w:val="000000"/>
                <w:kern w:val="0"/>
                <w:sz w:val="24"/>
                <w:szCs w:val="24"/>
                <w:highlight w:val="none"/>
                <w:lang w:val="en-US" w:eastAsia="zh-CN" w:bidi="ar"/>
              </w:rPr>
              <w:t>企业财务会计实训</w:t>
            </w:r>
          </w:p>
        </w:tc>
        <w:tc>
          <w:tcPr>
            <w:tcW w:w="5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完成一家小型制造</w:t>
            </w:r>
            <w:r>
              <w:rPr>
                <w:rFonts w:hint="eastAsia" w:ascii="仿宋" w:hAnsi="仿宋" w:eastAsia="仿宋" w:cs="仿宋"/>
                <w:color w:val="000000"/>
                <w:kern w:val="0"/>
                <w:sz w:val="24"/>
                <w:szCs w:val="24"/>
                <w:lang w:val="en-US" w:eastAsia="zh-CN" w:bidi="ar"/>
              </w:rPr>
              <w:t>业</w:t>
            </w:r>
            <w:r>
              <w:rPr>
                <w:rFonts w:hint="eastAsia" w:ascii="仿宋" w:hAnsi="仿宋" w:eastAsia="仿宋" w:cs="仿宋"/>
                <w:color w:val="000000"/>
                <w:kern w:val="0"/>
                <w:sz w:val="24"/>
                <w:szCs w:val="24"/>
                <w:lang w:bidi="ar"/>
              </w:rPr>
              <w:t>企业某一会计期间经济业务的模拟训练,初步接触企业经济业务会计核算全过程。</w:t>
            </w:r>
          </w:p>
        </w:tc>
      </w:tr>
      <w:tr>
        <w:tblPrEx>
          <w:tblCellMar>
            <w:top w:w="0" w:type="dxa"/>
            <w:left w:w="108" w:type="dxa"/>
            <w:bottom w:w="0" w:type="dxa"/>
            <w:right w:w="108" w:type="dxa"/>
          </w:tblCellMar>
        </w:tblPrEx>
        <w:trPr>
          <w:trHeight w:val="1048" w:hRule="atLeast"/>
          <w:jc w:val="center"/>
        </w:trPr>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会计信息化</w:t>
            </w:r>
          </w:p>
        </w:tc>
        <w:tc>
          <w:tcPr>
            <w:tcW w:w="5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借助</w:t>
            </w:r>
            <w:r>
              <w:rPr>
                <w:rFonts w:hint="eastAsia" w:ascii="仿宋" w:hAnsi="仿宋" w:eastAsia="仿宋" w:cs="仿宋"/>
                <w:color w:val="000000"/>
                <w:kern w:val="0"/>
                <w:sz w:val="24"/>
                <w:szCs w:val="24"/>
                <w:lang w:val="en-US" w:eastAsia="zh-CN" w:bidi="ar"/>
              </w:rPr>
              <w:t>实训</w:t>
            </w:r>
            <w:r>
              <w:rPr>
                <w:rFonts w:hint="eastAsia" w:ascii="仿宋" w:hAnsi="仿宋" w:eastAsia="仿宋" w:cs="仿宋"/>
                <w:color w:val="000000"/>
                <w:kern w:val="0"/>
                <w:sz w:val="24"/>
                <w:szCs w:val="24"/>
                <w:lang w:bidi="ar"/>
              </w:rPr>
              <w:t>平台，实施会计账套管理初始工作；能熟练运用总账、报表、工资、固定资产等基本功能模块核算企业日常经济业务。</w:t>
            </w:r>
          </w:p>
        </w:tc>
      </w:tr>
      <w:tr>
        <w:tblPrEx>
          <w:tblCellMar>
            <w:top w:w="0" w:type="dxa"/>
            <w:left w:w="108" w:type="dxa"/>
            <w:bottom w:w="0" w:type="dxa"/>
            <w:right w:w="108" w:type="dxa"/>
          </w:tblCellMar>
        </w:tblPrEx>
        <w:trPr>
          <w:trHeight w:val="814" w:hRule="atLeast"/>
          <w:jc w:val="center"/>
        </w:trPr>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5</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仿宋" w:hAnsi="仿宋" w:eastAsia="仿宋" w:cs="仿宋"/>
                <w:color w:val="000000"/>
                <w:sz w:val="24"/>
                <w:szCs w:val="24"/>
                <w:highlight w:val="none"/>
                <w:lang w:val="en-US" w:eastAsia="zh-CN"/>
              </w:rPr>
            </w:pPr>
            <w:r>
              <w:rPr>
                <w:rFonts w:hint="eastAsia" w:ascii="仿宋" w:hAnsi="仿宋" w:eastAsia="仿宋" w:cs="仿宋"/>
                <w:color w:val="000000"/>
                <w:kern w:val="0"/>
                <w:sz w:val="24"/>
                <w:szCs w:val="24"/>
                <w:highlight w:val="none"/>
                <w:lang w:val="en-US" w:eastAsia="zh-CN" w:bidi="ar"/>
              </w:rPr>
              <w:t>税费计算与智能申报</w:t>
            </w:r>
          </w:p>
        </w:tc>
        <w:tc>
          <w:tcPr>
            <w:tcW w:w="5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借助</w:t>
            </w:r>
            <w:r>
              <w:rPr>
                <w:rFonts w:hint="eastAsia" w:ascii="仿宋" w:hAnsi="仿宋" w:eastAsia="仿宋" w:cs="仿宋"/>
                <w:color w:val="000000"/>
                <w:kern w:val="0"/>
                <w:sz w:val="24"/>
                <w:szCs w:val="24"/>
                <w:lang w:val="en-US" w:eastAsia="zh-CN" w:bidi="ar"/>
              </w:rPr>
              <w:t>实训</w:t>
            </w:r>
            <w:r>
              <w:rPr>
                <w:rFonts w:hint="eastAsia" w:ascii="仿宋" w:hAnsi="仿宋" w:eastAsia="仿宋" w:cs="仿宋"/>
                <w:color w:val="000000"/>
                <w:kern w:val="0"/>
                <w:sz w:val="24"/>
                <w:szCs w:val="24"/>
                <w:lang w:bidi="ar"/>
              </w:rPr>
              <w:t>平台，办理增值税、个人所得税、企业所得税、城市维护建设税等税种的计算、</w:t>
            </w:r>
            <w:r>
              <w:rPr>
                <w:rFonts w:hint="eastAsia" w:ascii="仿宋" w:hAnsi="仿宋" w:eastAsia="仿宋" w:cs="仿宋"/>
                <w:color w:val="000000"/>
                <w:kern w:val="0"/>
                <w:sz w:val="24"/>
                <w:szCs w:val="24"/>
                <w:lang w:val="en-US" w:eastAsia="zh-CN" w:bidi="ar"/>
              </w:rPr>
              <w:t>智能</w:t>
            </w:r>
            <w:r>
              <w:rPr>
                <w:rFonts w:hint="eastAsia" w:ascii="仿宋" w:hAnsi="仿宋" w:eastAsia="仿宋" w:cs="仿宋"/>
                <w:color w:val="000000"/>
                <w:kern w:val="0"/>
                <w:sz w:val="24"/>
                <w:szCs w:val="24"/>
                <w:lang w:bidi="ar"/>
              </w:rPr>
              <w:t>申报和缴纳。</w:t>
            </w:r>
          </w:p>
        </w:tc>
      </w:tr>
      <w:tr>
        <w:tblPrEx>
          <w:tblCellMar>
            <w:top w:w="0" w:type="dxa"/>
            <w:left w:w="108" w:type="dxa"/>
            <w:bottom w:w="0" w:type="dxa"/>
            <w:right w:w="108" w:type="dxa"/>
          </w:tblCellMar>
        </w:tblPrEx>
        <w:trPr>
          <w:trHeight w:val="1538" w:hRule="atLeast"/>
          <w:jc w:val="center"/>
        </w:trPr>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6</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4"/>
                <w:szCs w:val="24"/>
                <w:highlight w:val="none"/>
                <w:lang w:val="en-US" w:eastAsia="zh-CN" w:bidi="ar"/>
              </w:rPr>
            </w:pPr>
            <w:r>
              <w:rPr>
                <w:rFonts w:hint="eastAsia" w:ascii="仿宋" w:hAnsi="仿宋" w:eastAsia="仿宋" w:cs="仿宋"/>
                <w:color w:val="000000"/>
                <w:kern w:val="0"/>
                <w:sz w:val="24"/>
                <w:szCs w:val="24"/>
                <w:highlight w:val="none"/>
                <w:lang w:val="en-US" w:eastAsia="zh-CN" w:bidi="ar"/>
              </w:rPr>
              <w:t>财务数据</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仿宋" w:hAnsi="仿宋" w:eastAsia="仿宋" w:cs="仿宋"/>
                <w:color w:val="000000"/>
                <w:sz w:val="24"/>
                <w:szCs w:val="24"/>
                <w:highlight w:val="none"/>
                <w:lang w:val="en-US" w:eastAsia="zh-CN"/>
              </w:rPr>
            </w:pPr>
            <w:r>
              <w:rPr>
                <w:rFonts w:hint="eastAsia" w:ascii="仿宋" w:hAnsi="仿宋" w:eastAsia="仿宋" w:cs="仿宋"/>
                <w:color w:val="000000"/>
                <w:kern w:val="0"/>
                <w:sz w:val="24"/>
                <w:szCs w:val="24"/>
                <w:highlight w:val="none"/>
                <w:lang w:val="en-US" w:eastAsia="zh-CN" w:bidi="ar"/>
              </w:rPr>
              <w:t>分析</w:t>
            </w:r>
          </w:p>
        </w:tc>
        <w:tc>
          <w:tcPr>
            <w:tcW w:w="5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4"/>
                <w:szCs w:val="24"/>
                <w:lang w:eastAsia="zh-CN" w:bidi="ar"/>
              </w:rPr>
            </w:pPr>
            <w:r>
              <w:rPr>
                <w:rFonts w:hint="eastAsia" w:ascii="仿宋" w:hAnsi="仿宋" w:eastAsia="仿宋" w:cs="仿宋"/>
                <w:color w:val="000000"/>
                <w:kern w:val="0"/>
                <w:sz w:val="24"/>
                <w:szCs w:val="24"/>
                <w:lang w:bidi="ar"/>
              </w:rPr>
              <w:t>依托大数据分析平台</w:t>
            </w:r>
            <w:r>
              <w:rPr>
                <w:rFonts w:hint="eastAsia" w:ascii="仿宋" w:hAnsi="仿宋" w:eastAsia="仿宋" w:cs="仿宋"/>
                <w:color w:val="000000"/>
                <w:kern w:val="0"/>
                <w:sz w:val="24"/>
                <w:szCs w:val="24"/>
                <w:lang w:val="en-US" w:eastAsia="zh-CN" w:bidi="ar"/>
              </w:rPr>
              <w:t>和Excel常用功能对公司经</w:t>
            </w:r>
            <w:r>
              <w:rPr>
                <w:rFonts w:hint="eastAsia" w:ascii="仿宋" w:hAnsi="仿宋" w:eastAsia="仿宋" w:cs="仿宋"/>
                <w:color w:val="000000"/>
                <w:kern w:val="0"/>
                <w:sz w:val="24"/>
                <w:szCs w:val="24"/>
                <w:lang w:bidi="ar"/>
              </w:rPr>
              <w:t>营、财务、行业数据</w:t>
            </w:r>
            <w:r>
              <w:rPr>
                <w:rFonts w:hint="eastAsia" w:ascii="仿宋" w:hAnsi="仿宋" w:eastAsia="仿宋" w:cs="仿宋"/>
                <w:color w:val="000000"/>
                <w:kern w:val="0"/>
                <w:sz w:val="24"/>
                <w:szCs w:val="24"/>
                <w:lang w:val="en-US" w:eastAsia="zh-CN" w:bidi="ar"/>
              </w:rPr>
              <w:t>进行</w:t>
            </w:r>
            <w:r>
              <w:rPr>
                <w:rFonts w:hint="eastAsia" w:ascii="仿宋" w:hAnsi="仿宋" w:eastAsia="仿宋" w:cs="仿宋"/>
                <w:color w:val="000000"/>
                <w:kern w:val="0"/>
                <w:sz w:val="24"/>
                <w:szCs w:val="24"/>
                <w:lang w:bidi="ar"/>
              </w:rPr>
              <w:t>搜集整理，解读财务报表，为企业经营管控提供依据</w:t>
            </w:r>
            <w:r>
              <w:rPr>
                <w:rFonts w:hint="eastAsia" w:ascii="仿宋" w:hAnsi="仿宋" w:eastAsia="仿宋" w:cs="仿宋"/>
                <w:color w:val="000000"/>
                <w:kern w:val="0"/>
                <w:sz w:val="24"/>
                <w:szCs w:val="24"/>
                <w:lang w:eastAsia="zh-CN" w:bidi="ar"/>
              </w:rPr>
              <w:t>。</w:t>
            </w:r>
          </w:p>
        </w:tc>
      </w:tr>
      <w:tr>
        <w:tblPrEx>
          <w:tblCellMar>
            <w:top w:w="0" w:type="dxa"/>
            <w:left w:w="108" w:type="dxa"/>
            <w:bottom w:w="0" w:type="dxa"/>
            <w:right w:w="108" w:type="dxa"/>
          </w:tblCellMar>
        </w:tblPrEx>
        <w:trPr>
          <w:trHeight w:val="1267" w:hRule="atLeast"/>
          <w:jc w:val="center"/>
        </w:trPr>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7</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val="en-US" w:eastAsia="zh-CN" w:bidi="ar"/>
              </w:rPr>
              <w:t>业财税</w:t>
            </w:r>
            <w:r>
              <w:rPr>
                <w:rFonts w:hint="eastAsia" w:ascii="仿宋" w:hAnsi="仿宋" w:eastAsia="仿宋" w:cs="仿宋"/>
                <w:color w:val="000000"/>
                <w:kern w:val="0"/>
                <w:sz w:val="24"/>
                <w:szCs w:val="24"/>
                <w:highlight w:val="none"/>
                <w:lang w:bidi="ar"/>
              </w:rPr>
              <w:t>综合实训</w:t>
            </w:r>
          </w:p>
        </w:tc>
        <w:tc>
          <w:tcPr>
            <w:tcW w:w="5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val="en-US" w:eastAsia="zh-CN" w:bidi="ar"/>
              </w:rPr>
              <w:t>实训</w:t>
            </w:r>
            <w:r>
              <w:rPr>
                <w:rFonts w:hint="eastAsia" w:ascii="仿宋" w:hAnsi="仿宋" w:eastAsia="仿宋" w:cs="仿宋"/>
                <w:color w:val="000000"/>
                <w:kern w:val="0"/>
                <w:sz w:val="24"/>
                <w:szCs w:val="24"/>
                <w:lang w:bidi="ar"/>
              </w:rPr>
              <w:t>平台将业务、账务、税务融合成一个整体,以经济业务发生为主线，将财务各项工作结合起来，实现流程串联、数据共联、逻辑通联、操作互联,多元化培养学生财税相关技能。</w:t>
            </w:r>
          </w:p>
        </w:tc>
      </w:tr>
      <w:tr>
        <w:tblPrEx>
          <w:tblCellMar>
            <w:top w:w="0" w:type="dxa"/>
            <w:left w:w="108" w:type="dxa"/>
            <w:bottom w:w="0" w:type="dxa"/>
            <w:right w:w="108" w:type="dxa"/>
          </w:tblCellMar>
        </w:tblPrEx>
        <w:trPr>
          <w:trHeight w:val="1856" w:hRule="atLeast"/>
          <w:jc w:val="center"/>
        </w:trPr>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8</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kern w:val="0"/>
                <w:sz w:val="24"/>
                <w:szCs w:val="24"/>
                <w:lang w:bidi="ar"/>
              </w:rPr>
              <w:t>财务共享服务</w:t>
            </w:r>
            <w:r>
              <w:rPr>
                <w:rFonts w:hint="eastAsia" w:ascii="仿宋" w:hAnsi="仿宋" w:eastAsia="仿宋" w:cs="仿宋"/>
                <w:color w:val="000000"/>
                <w:kern w:val="0"/>
                <w:sz w:val="24"/>
                <w:szCs w:val="24"/>
                <w:lang w:val="en-US" w:eastAsia="zh-CN" w:bidi="ar"/>
              </w:rPr>
              <w:t>/</w:t>
            </w:r>
            <w:r>
              <w:rPr>
                <w:rFonts w:hint="eastAsia" w:ascii="仿宋" w:hAnsi="仿宋" w:eastAsia="仿宋" w:cs="仿宋"/>
                <w:color w:val="000000"/>
                <w:kern w:val="0"/>
                <w:sz w:val="24"/>
                <w:szCs w:val="24"/>
                <w:lang w:bidi="ar"/>
              </w:rPr>
              <w:t>财务数字化应用</w:t>
            </w:r>
          </w:p>
        </w:tc>
        <w:tc>
          <w:tcPr>
            <w:tcW w:w="5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应用智能财务系统进行经济业务审核、会计确认、计量和报告，应用智能财税系统进行各种税费计算与申报、认证、发票开具等。培养学生财务数字化平台协同应用能力、对外协调沟通能力、内部风险应变能力和经济业务数字化处理能力。</w:t>
            </w:r>
          </w:p>
        </w:tc>
      </w:tr>
      <w:tr>
        <w:tblPrEx>
          <w:tblCellMar>
            <w:top w:w="0" w:type="dxa"/>
            <w:left w:w="108" w:type="dxa"/>
            <w:bottom w:w="0" w:type="dxa"/>
            <w:right w:w="108" w:type="dxa"/>
          </w:tblCellMar>
        </w:tblPrEx>
        <w:trPr>
          <w:trHeight w:val="2657" w:hRule="atLeast"/>
          <w:jc w:val="center"/>
        </w:trPr>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9</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财务机器人</w:t>
            </w:r>
            <w:r>
              <w:rPr>
                <w:rFonts w:hint="eastAsia" w:ascii="仿宋" w:hAnsi="仿宋" w:eastAsia="仿宋" w:cs="仿宋"/>
                <w:color w:val="000000"/>
                <w:w w:val="90"/>
                <w:sz w:val="24"/>
                <w:szCs w:val="24"/>
                <w:highlight w:val="none"/>
              </w:rPr>
              <w:t>智能核算应用</w:t>
            </w:r>
          </w:p>
        </w:tc>
        <w:tc>
          <w:tcPr>
            <w:tcW w:w="5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4"/>
                <w:szCs w:val="24"/>
                <w:lang w:eastAsia="zh-CN" w:bidi="ar"/>
              </w:rPr>
            </w:pPr>
            <w:r>
              <w:rPr>
                <w:rFonts w:hint="eastAsia" w:ascii="仿宋" w:hAnsi="仿宋" w:eastAsia="仿宋" w:cs="仿宋"/>
                <w:color w:val="000000"/>
                <w:kern w:val="0"/>
                <w:sz w:val="24"/>
                <w:szCs w:val="24"/>
                <w:lang w:val="en-US" w:eastAsia="zh-CN" w:bidi="ar"/>
              </w:rPr>
              <w:t xml:space="preserve">课程的主要内容包括认知 RPA 技术的应用原理，了解 RPA 技术在财务中创新应用的工作场景和工作过程，熟悉财务机器人软件使用的相关业务流程。通过本课程学习，学生能够能初步应用财务机器人软件的基本功能，掌握和运用智能工具开展相关工作，完成发票业务处理等典型财务工作场景的自动化处理，提高解决实际问题的能力和综合素养。 </w:t>
            </w:r>
          </w:p>
        </w:tc>
      </w:tr>
    </w:tbl>
    <w:p>
      <w:pPr>
        <w:spacing w:line="560" w:lineRule="exact"/>
        <w:ind w:firstLine="643" w:firstLineChars="200"/>
        <w:jc w:val="left"/>
        <w:outlineLvl w:val="2"/>
        <w:rPr>
          <w:rFonts w:hint="eastAsia" w:ascii="仿宋" w:hAnsi="仿宋" w:eastAsia="仿宋" w:cs="仿宋"/>
          <w:b/>
          <w:bCs/>
          <w:color w:val="000000" w:themeColor="text1"/>
          <w:sz w:val="32"/>
          <w:szCs w:val="32"/>
          <w:lang w:eastAsia="zh-CN"/>
          <w14:textFill>
            <w14:solidFill>
              <w14:schemeClr w14:val="tx1"/>
            </w14:solidFill>
          </w14:textFill>
        </w:rPr>
      </w:pPr>
      <w:bookmarkStart w:id="39" w:name="_Toc4491"/>
      <w:bookmarkStart w:id="40" w:name="_Toc5814"/>
      <w:r>
        <w:rPr>
          <w:rFonts w:hint="eastAsia" w:ascii="仿宋" w:hAnsi="仿宋" w:eastAsia="仿宋" w:cs="仿宋"/>
          <w:b/>
          <w:bCs/>
          <w:color w:val="000000" w:themeColor="text1"/>
          <w:sz w:val="32"/>
          <w:szCs w:val="32"/>
          <w14:textFill>
            <w14:solidFill>
              <w14:schemeClr w14:val="tx1"/>
            </w14:solidFill>
          </w14:textFill>
        </w:rPr>
        <w:t>3.专业拓展课程</w:t>
      </w:r>
      <w:bookmarkEnd w:id="39"/>
      <w:bookmarkEnd w:id="4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专业拓展课程见表1-6。</w:t>
      </w:r>
    </w:p>
    <w:p>
      <w:pPr>
        <w:spacing w:line="560" w:lineRule="exact"/>
        <w:jc w:val="left"/>
        <w:rPr>
          <w:rFonts w:hint="eastAsia" w:ascii="仿宋" w:hAnsi="仿宋" w:eastAsia="仿宋" w:cs="仿宋"/>
          <w:b w:val="0"/>
          <w:bCs w:val="0"/>
          <w:color w:val="000000" w:themeColor="text1"/>
          <w:sz w:val="28"/>
          <w:szCs w:val="28"/>
          <w:lang w:val="en-US" w:eastAsia="zh-CN"/>
          <w14:textFill>
            <w14:solidFill>
              <w14:schemeClr w14:val="tx1"/>
            </w14:solidFill>
          </w14:textFill>
        </w:rPr>
      </w:pPr>
    </w:p>
    <w:p>
      <w:pPr>
        <w:spacing w:line="560" w:lineRule="exact"/>
        <w:jc w:val="left"/>
        <w:rPr>
          <w:rFonts w:hint="eastAsia" w:ascii="仿宋" w:hAnsi="仿宋" w:eastAsia="仿宋" w:cs="仿宋"/>
          <w:b w:val="0"/>
          <w:bCs w:val="0"/>
          <w:color w:val="000000" w:themeColor="text1"/>
          <w:sz w:val="28"/>
          <w:szCs w:val="28"/>
          <w:lang w:val="en-US" w:eastAsia="zh-CN"/>
          <w14:textFill>
            <w14:solidFill>
              <w14:schemeClr w14:val="tx1"/>
            </w14:solidFill>
          </w14:textFill>
        </w:rPr>
      </w:pPr>
    </w:p>
    <w:p>
      <w:pPr>
        <w:spacing w:line="560" w:lineRule="exact"/>
        <w:jc w:val="left"/>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28"/>
          <w:szCs w:val="28"/>
          <w:lang w:val="en-US" w:eastAsia="zh-CN"/>
          <w14:textFill>
            <w14:solidFill>
              <w14:schemeClr w14:val="tx1"/>
            </w14:solidFill>
          </w14:textFill>
        </w:rPr>
        <w:t>表1-6                     专业拓展课程</w:t>
      </w:r>
    </w:p>
    <w:tbl>
      <w:tblPr>
        <w:tblStyle w:val="10"/>
        <w:tblW w:w="8499" w:type="dxa"/>
        <w:jc w:val="center"/>
        <w:tblLayout w:type="autofit"/>
        <w:tblCellMar>
          <w:top w:w="0" w:type="dxa"/>
          <w:left w:w="108" w:type="dxa"/>
          <w:bottom w:w="0" w:type="dxa"/>
          <w:right w:w="108" w:type="dxa"/>
        </w:tblCellMar>
      </w:tblPr>
      <w:tblGrid>
        <w:gridCol w:w="846"/>
        <w:gridCol w:w="2033"/>
        <w:gridCol w:w="5620"/>
      </w:tblGrid>
      <w:tr>
        <w:tblPrEx>
          <w:tblCellMar>
            <w:top w:w="0" w:type="dxa"/>
            <w:left w:w="108" w:type="dxa"/>
            <w:bottom w:w="0" w:type="dxa"/>
            <w:right w:w="108" w:type="dxa"/>
          </w:tblCellMar>
        </w:tblPrEx>
        <w:trPr>
          <w:trHeight w:val="43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b/>
                <w:bCs/>
                <w:color w:val="000000"/>
                <w:sz w:val="24"/>
                <w:szCs w:val="24"/>
              </w:rPr>
            </w:pPr>
            <w:r>
              <w:rPr>
                <w:rFonts w:hint="eastAsia" w:ascii="仿宋" w:hAnsi="仿宋" w:eastAsia="仿宋" w:cs="仿宋"/>
                <w:b/>
                <w:bCs/>
                <w:color w:val="000000"/>
                <w:kern w:val="0"/>
                <w:sz w:val="24"/>
                <w:szCs w:val="24"/>
                <w:lang w:bidi="ar"/>
              </w:rPr>
              <w:t>序号</w:t>
            </w: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b/>
                <w:bCs/>
                <w:color w:val="000000"/>
                <w:sz w:val="24"/>
                <w:szCs w:val="24"/>
              </w:rPr>
            </w:pPr>
            <w:r>
              <w:rPr>
                <w:rFonts w:hint="eastAsia" w:ascii="仿宋" w:hAnsi="仿宋" w:eastAsia="仿宋" w:cs="仿宋"/>
                <w:b/>
                <w:bCs/>
                <w:color w:val="000000"/>
                <w:kern w:val="0"/>
                <w:sz w:val="24"/>
                <w:szCs w:val="24"/>
                <w:lang w:bidi="ar"/>
              </w:rPr>
              <w:t>课程名称</w:t>
            </w:r>
          </w:p>
        </w:tc>
        <w:tc>
          <w:tcPr>
            <w:tcW w:w="5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b/>
                <w:bCs/>
                <w:color w:val="000000"/>
                <w:sz w:val="24"/>
                <w:szCs w:val="24"/>
              </w:rPr>
            </w:pPr>
            <w:r>
              <w:rPr>
                <w:rFonts w:hint="eastAsia" w:ascii="仿宋" w:hAnsi="仿宋" w:eastAsia="仿宋" w:cs="仿宋"/>
                <w:b/>
                <w:bCs/>
                <w:color w:val="000000"/>
                <w:kern w:val="0"/>
                <w:sz w:val="24"/>
                <w:szCs w:val="24"/>
                <w:lang w:bidi="ar"/>
              </w:rPr>
              <w:t>主要内容和教学要求</w:t>
            </w:r>
          </w:p>
        </w:tc>
      </w:tr>
      <w:tr>
        <w:tblPrEx>
          <w:tblCellMar>
            <w:top w:w="0" w:type="dxa"/>
            <w:left w:w="108" w:type="dxa"/>
            <w:bottom w:w="0" w:type="dxa"/>
            <w:right w:w="108" w:type="dxa"/>
          </w:tblCellMar>
        </w:tblPrEx>
        <w:trPr>
          <w:trHeight w:val="1077"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w:t>
            </w: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ERP沙盘认知</w:t>
            </w:r>
          </w:p>
        </w:tc>
        <w:tc>
          <w:tcPr>
            <w:tcW w:w="5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让学生在分析市场、制定战略、组织生产、整体营销和财务结算等一系列活动中体会企业经营运作的全过程。</w:t>
            </w:r>
          </w:p>
        </w:tc>
      </w:tr>
      <w:tr>
        <w:tblPrEx>
          <w:tblCellMar>
            <w:top w:w="0" w:type="dxa"/>
            <w:left w:w="108" w:type="dxa"/>
            <w:bottom w:w="0" w:type="dxa"/>
            <w:right w:w="108" w:type="dxa"/>
          </w:tblCellMar>
        </w:tblPrEx>
        <w:trPr>
          <w:trHeight w:val="1499"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w:t>
            </w: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VBSE模拟商业社会实训</w:t>
            </w:r>
          </w:p>
        </w:tc>
        <w:tc>
          <w:tcPr>
            <w:tcW w:w="5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通过完成典型的岗位工作任务,认知企业主要经管理活动过程和主要业务流程；体验企业内部门间的协作关系及其与企业外围相关经济组织与管理部门之间的业务关联。</w:t>
            </w:r>
          </w:p>
        </w:tc>
      </w:tr>
    </w:tbl>
    <w:p>
      <w:pPr>
        <w:spacing w:line="560" w:lineRule="exact"/>
        <w:ind w:firstLine="643" w:firstLineChars="200"/>
        <w:jc w:val="left"/>
        <w:outlineLvl w:val="1"/>
        <w:rPr>
          <w:rFonts w:hint="eastAsia" w:ascii="楷体" w:hAnsi="楷体" w:eastAsia="楷体" w:cs="楷体"/>
          <w:b/>
          <w:bCs/>
          <w:color w:val="000000" w:themeColor="text1"/>
          <w:sz w:val="32"/>
          <w:szCs w:val="32"/>
          <w:lang w:eastAsia="zh-CN"/>
          <w14:textFill>
            <w14:solidFill>
              <w14:schemeClr w14:val="tx1"/>
            </w14:solidFill>
          </w14:textFill>
        </w:rPr>
      </w:pPr>
      <w:bookmarkStart w:id="41" w:name="_Toc30599"/>
      <w:bookmarkStart w:id="42" w:name="_Toc17534"/>
      <w:r>
        <w:rPr>
          <w:rFonts w:hint="eastAsia" w:ascii="楷体" w:hAnsi="楷体" w:eastAsia="楷体" w:cs="楷体"/>
          <w:b/>
          <w:bCs/>
          <w:color w:val="000000" w:themeColor="text1"/>
          <w:sz w:val="32"/>
          <w:szCs w:val="32"/>
          <w14:textFill>
            <w14:solidFill>
              <w14:schemeClr w14:val="tx1"/>
            </w14:solidFill>
          </w14:textFill>
        </w:rPr>
        <w:t>（三）综合素养课程</w:t>
      </w:r>
      <w:bookmarkEnd w:id="41"/>
      <w:bookmarkEnd w:id="4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综合素养课程见表1-7。</w:t>
      </w:r>
    </w:p>
    <w:p>
      <w:pPr>
        <w:numPr>
          <w:ilvl w:val="0"/>
          <w:numId w:val="0"/>
        </w:numPr>
        <w:spacing w:line="560" w:lineRule="exact"/>
        <w:jc w:val="left"/>
        <w:rPr>
          <w:rFonts w:hint="eastAsia" w:ascii="楷体" w:hAnsi="楷体" w:eastAsia="楷体" w:cs="楷体"/>
          <w:b/>
          <w:bCs/>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28"/>
          <w:szCs w:val="28"/>
          <w:lang w:val="en-US" w:eastAsia="zh-CN"/>
          <w14:textFill>
            <w14:solidFill>
              <w14:schemeClr w14:val="tx1"/>
            </w14:solidFill>
          </w14:textFill>
        </w:rPr>
        <w:t>表1-7                     综合素养课程</w:t>
      </w:r>
    </w:p>
    <w:tbl>
      <w:tblPr>
        <w:tblStyle w:val="10"/>
        <w:tblW w:w="8578" w:type="dxa"/>
        <w:jc w:val="center"/>
        <w:tblLayout w:type="autofit"/>
        <w:tblCellMar>
          <w:top w:w="0" w:type="dxa"/>
          <w:left w:w="108" w:type="dxa"/>
          <w:bottom w:w="0" w:type="dxa"/>
          <w:right w:w="108" w:type="dxa"/>
        </w:tblCellMar>
      </w:tblPr>
      <w:tblGrid>
        <w:gridCol w:w="773"/>
        <w:gridCol w:w="1781"/>
        <w:gridCol w:w="6024"/>
      </w:tblGrid>
      <w:tr>
        <w:tblPrEx>
          <w:tblCellMar>
            <w:top w:w="0" w:type="dxa"/>
            <w:left w:w="108" w:type="dxa"/>
            <w:bottom w:w="0" w:type="dxa"/>
            <w:right w:w="108" w:type="dxa"/>
          </w:tblCellMar>
        </w:tblPrEx>
        <w:trPr>
          <w:trHeight w:val="542" w:hRule="atLeast"/>
          <w:jc w:val="center"/>
        </w:trPr>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b/>
                <w:bCs/>
                <w:color w:val="000000"/>
                <w:sz w:val="24"/>
                <w:szCs w:val="24"/>
              </w:rPr>
            </w:pPr>
            <w:r>
              <w:rPr>
                <w:rFonts w:hint="eastAsia" w:ascii="仿宋" w:hAnsi="仿宋" w:eastAsia="仿宋" w:cs="仿宋"/>
                <w:b/>
                <w:bCs/>
                <w:color w:val="000000"/>
                <w:kern w:val="0"/>
                <w:sz w:val="24"/>
                <w:szCs w:val="24"/>
                <w:lang w:bidi="ar"/>
              </w:rPr>
              <w:t>序号</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b/>
                <w:bCs/>
                <w:color w:val="000000"/>
                <w:sz w:val="24"/>
                <w:szCs w:val="24"/>
              </w:rPr>
            </w:pPr>
            <w:r>
              <w:rPr>
                <w:rFonts w:hint="eastAsia" w:ascii="仿宋" w:hAnsi="仿宋" w:eastAsia="仿宋" w:cs="仿宋"/>
                <w:b/>
                <w:bCs/>
                <w:color w:val="000000"/>
                <w:kern w:val="0"/>
                <w:sz w:val="24"/>
                <w:szCs w:val="24"/>
                <w:lang w:bidi="ar"/>
              </w:rPr>
              <w:t>课程名称</w:t>
            </w:r>
          </w:p>
        </w:tc>
        <w:tc>
          <w:tcPr>
            <w:tcW w:w="6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b/>
                <w:bCs/>
                <w:color w:val="000000"/>
                <w:sz w:val="24"/>
                <w:szCs w:val="24"/>
              </w:rPr>
            </w:pPr>
            <w:r>
              <w:rPr>
                <w:rFonts w:hint="eastAsia" w:ascii="仿宋" w:hAnsi="仿宋" w:eastAsia="仿宋" w:cs="仿宋"/>
                <w:b/>
                <w:bCs/>
                <w:color w:val="000000"/>
                <w:kern w:val="0"/>
                <w:sz w:val="24"/>
                <w:szCs w:val="24"/>
                <w:lang w:bidi="ar"/>
              </w:rPr>
              <w:t>主要内容和教学要求</w:t>
            </w:r>
          </w:p>
        </w:tc>
      </w:tr>
      <w:tr>
        <w:tblPrEx>
          <w:tblCellMar>
            <w:top w:w="0" w:type="dxa"/>
            <w:left w:w="108" w:type="dxa"/>
            <w:bottom w:w="0" w:type="dxa"/>
            <w:right w:w="108" w:type="dxa"/>
          </w:tblCellMar>
        </w:tblPrEx>
        <w:trPr>
          <w:trHeight w:val="755" w:hRule="atLeast"/>
          <w:jc w:val="center"/>
        </w:trPr>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val="en-US" w:eastAsia="zh-CN" w:bidi="ar"/>
              </w:rPr>
              <w:t>入学教育与</w:t>
            </w:r>
            <w:r>
              <w:rPr>
                <w:rFonts w:hint="eastAsia" w:ascii="仿宋" w:hAnsi="仿宋" w:eastAsia="仿宋" w:cs="仿宋"/>
                <w:color w:val="000000"/>
                <w:kern w:val="0"/>
                <w:sz w:val="24"/>
                <w:szCs w:val="24"/>
                <w:lang w:bidi="ar"/>
              </w:rPr>
              <w:t>军训</w:t>
            </w:r>
          </w:p>
        </w:tc>
        <w:tc>
          <w:tcPr>
            <w:tcW w:w="6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val="en-US" w:eastAsia="zh-CN" w:bidi="ar"/>
              </w:rPr>
              <w:t>通过专题学习，使学生</w:t>
            </w:r>
            <w:r>
              <w:rPr>
                <w:rFonts w:hint="eastAsia" w:ascii="仿宋" w:hAnsi="仿宋" w:eastAsia="仿宋" w:cs="仿宋"/>
                <w:color w:val="000000"/>
                <w:kern w:val="0"/>
                <w:sz w:val="24"/>
                <w:szCs w:val="24"/>
                <w:lang w:bidi="ar"/>
              </w:rPr>
              <w:t>了解基本军事知识，熟知基本军事技能。</w:t>
            </w:r>
          </w:p>
        </w:tc>
      </w:tr>
      <w:tr>
        <w:tblPrEx>
          <w:tblCellMar>
            <w:top w:w="0" w:type="dxa"/>
            <w:left w:w="108" w:type="dxa"/>
            <w:bottom w:w="0" w:type="dxa"/>
            <w:right w:w="108" w:type="dxa"/>
          </w:tblCellMar>
        </w:tblPrEx>
        <w:trPr>
          <w:trHeight w:val="629" w:hRule="atLeast"/>
          <w:jc w:val="center"/>
        </w:trPr>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2</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创新创业教育</w:t>
            </w:r>
          </w:p>
        </w:tc>
        <w:tc>
          <w:tcPr>
            <w:tcW w:w="6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val="en-US" w:eastAsia="zh-CN" w:bidi="ar"/>
              </w:rPr>
              <w:t>通过专题学习，</w:t>
            </w:r>
            <w:r>
              <w:rPr>
                <w:rFonts w:ascii="仿宋" w:hAnsi="仿宋" w:eastAsia="仿宋" w:cs="仿宋"/>
                <w:color w:val="000000"/>
                <w:kern w:val="0"/>
                <w:sz w:val="24"/>
                <w:szCs w:val="24"/>
                <w:lang w:bidi="ar"/>
              </w:rPr>
              <w:t>对学生进行创新思维培养和创业能力锻炼，</w:t>
            </w:r>
            <w:r>
              <w:rPr>
                <w:rFonts w:hint="eastAsia" w:ascii="仿宋" w:hAnsi="仿宋" w:eastAsia="仿宋" w:cs="仿宋"/>
                <w:color w:val="000000"/>
                <w:kern w:val="0"/>
                <w:sz w:val="24"/>
                <w:szCs w:val="24"/>
                <w:lang w:bidi="ar"/>
              </w:rPr>
              <w:t>培养学生的创业技能与开拓创新精神。</w:t>
            </w:r>
          </w:p>
        </w:tc>
      </w:tr>
      <w:tr>
        <w:tblPrEx>
          <w:tblCellMar>
            <w:top w:w="0" w:type="dxa"/>
            <w:left w:w="108" w:type="dxa"/>
            <w:bottom w:w="0" w:type="dxa"/>
            <w:right w:w="108" w:type="dxa"/>
          </w:tblCellMar>
        </w:tblPrEx>
        <w:trPr>
          <w:trHeight w:val="2440" w:hRule="atLeast"/>
          <w:jc w:val="center"/>
        </w:trPr>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3</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bidi="ar"/>
              </w:rPr>
              <w:t>财经</w:t>
            </w:r>
            <w:r>
              <w:rPr>
                <w:rFonts w:hint="eastAsia" w:ascii="仿宋" w:hAnsi="仿宋" w:eastAsia="仿宋" w:cs="仿宋"/>
                <w:color w:val="000000"/>
                <w:kern w:val="0"/>
                <w:sz w:val="24"/>
                <w:szCs w:val="24"/>
                <w:lang w:val="en-US" w:eastAsia="zh-CN" w:bidi="ar"/>
              </w:rPr>
              <w:t>职业</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素养</w:t>
            </w:r>
          </w:p>
        </w:tc>
        <w:tc>
          <w:tcPr>
            <w:tcW w:w="6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设置</w:t>
            </w:r>
            <w:r>
              <w:rPr>
                <w:rFonts w:hint="eastAsia" w:ascii="仿宋" w:hAnsi="仿宋" w:eastAsia="仿宋" w:cs="仿宋"/>
                <w:color w:val="000000"/>
                <w:kern w:val="0"/>
                <w:sz w:val="24"/>
                <w:szCs w:val="24"/>
                <w:lang w:val="en-US" w:eastAsia="zh-CN" w:bidi="ar"/>
              </w:rPr>
              <w:t>15个主题结构，覆盖劳动及职业、收入及分配、消费及选择、货币及制度、市场及规则、经济发展及财政收支、投资及风险管理、金融机构及监管、社会保障、商业保险、对外贸易及开放、贸易争端及解决、资源及发展、财富积累及传承、财富创造及社会责任等内容。在教学中，教师要引导学生掌握知识、拓展阅读、深化思考、适当践行，使学生获得相应的财经职业素养。</w:t>
            </w:r>
          </w:p>
        </w:tc>
      </w:tr>
      <w:tr>
        <w:tblPrEx>
          <w:tblCellMar>
            <w:top w:w="0" w:type="dxa"/>
            <w:left w:w="108" w:type="dxa"/>
            <w:bottom w:w="0" w:type="dxa"/>
            <w:right w:w="108" w:type="dxa"/>
          </w:tblCellMar>
        </w:tblPrEx>
        <w:trPr>
          <w:trHeight w:val="863" w:hRule="atLeast"/>
          <w:jc w:val="center"/>
        </w:trPr>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4</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就业指导</w:t>
            </w:r>
          </w:p>
        </w:tc>
        <w:tc>
          <w:tcPr>
            <w:tcW w:w="6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通过</w:t>
            </w:r>
            <w:r>
              <w:rPr>
                <w:rFonts w:hint="eastAsia" w:ascii="仿宋" w:hAnsi="仿宋" w:eastAsia="仿宋" w:cs="仿宋"/>
                <w:color w:val="000000"/>
                <w:kern w:val="0"/>
                <w:sz w:val="24"/>
                <w:szCs w:val="24"/>
                <w:lang w:val="en-US" w:eastAsia="zh-CN" w:bidi="ar"/>
              </w:rPr>
              <w:t>专题学习</w:t>
            </w:r>
            <w:r>
              <w:rPr>
                <w:rFonts w:hint="eastAsia" w:ascii="仿宋" w:hAnsi="仿宋" w:eastAsia="仿宋" w:cs="仿宋"/>
                <w:color w:val="000000"/>
                <w:kern w:val="0"/>
                <w:sz w:val="24"/>
                <w:szCs w:val="24"/>
                <w:lang w:bidi="ar"/>
              </w:rPr>
              <w:t>，引导学生了解职场、了解职业，树立准职业人的身份意识。激发</w:t>
            </w:r>
            <w:r>
              <w:rPr>
                <w:rFonts w:hint="eastAsia" w:ascii="仿宋" w:hAnsi="仿宋" w:eastAsia="仿宋" w:cs="仿宋"/>
                <w:color w:val="000000"/>
                <w:kern w:val="0"/>
                <w:sz w:val="24"/>
                <w:szCs w:val="24"/>
                <w:lang w:val="en-US" w:eastAsia="zh-CN" w:bidi="ar"/>
              </w:rPr>
              <w:t>学生</w:t>
            </w:r>
            <w:r>
              <w:rPr>
                <w:rFonts w:hint="eastAsia" w:ascii="仿宋" w:hAnsi="仿宋" w:eastAsia="仿宋" w:cs="仿宋"/>
                <w:color w:val="000000"/>
                <w:kern w:val="0"/>
                <w:sz w:val="24"/>
                <w:szCs w:val="24"/>
                <w:lang w:bidi="ar"/>
              </w:rPr>
              <w:t>全面提高自身素质的积极性和自觉性,养成良好的职业道德。</w:t>
            </w:r>
          </w:p>
        </w:tc>
      </w:tr>
      <w:tr>
        <w:tblPrEx>
          <w:tblCellMar>
            <w:top w:w="0" w:type="dxa"/>
            <w:left w:w="108" w:type="dxa"/>
            <w:bottom w:w="0" w:type="dxa"/>
            <w:right w:w="108" w:type="dxa"/>
          </w:tblCellMar>
        </w:tblPrEx>
        <w:trPr>
          <w:trHeight w:val="382" w:hRule="atLeast"/>
          <w:jc w:val="center"/>
        </w:trPr>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5</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职业能力</w:t>
            </w:r>
          </w:p>
        </w:tc>
        <w:tc>
          <w:tcPr>
            <w:tcW w:w="6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val="en-US" w:eastAsia="zh-CN" w:bidi="ar"/>
              </w:rPr>
              <w:t>通过专题学习，使学生具备</w:t>
            </w:r>
            <w:r>
              <w:rPr>
                <w:rFonts w:hint="eastAsia" w:ascii="仿宋" w:hAnsi="仿宋" w:eastAsia="仿宋" w:cs="仿宋"/>
                <w:color w:val="000000"/>
                <w:kern w:val="0"/>
                <w:sz w:val="24"/>
                <w:szCs w:val="24"/>
                <w:lang w:bidi="ar"/>
              </w:rPr>
              <w:t>综合素质（科技常识、人文常识等）、职业核心能力（自我学习、信息处理、数字应用等）和职业社会能力（沟通交流、团队合作、解决问题、创新能力、心理健康、语言应用等）。</w:t>
            </w:r>
          </w:p>
        </w:tc>
      </w:tr>
      <w:tr>
        <w:tblPrEx>
          <w:tblCellMar>
            <w:top w:w="0" w:type="dxa"/>
            <w:left w:w="108" w:type="dxa"/>
            <w:bottom w:w="0" w:type="dxa"/>
            <w:right w:w="108" w:type="dxa"/>
          </w:tblCellMar>
        </w:tblPrEx>
        <w:trPr>
          <w:trHeight w:val="764" w:hRule="atLeast"/>
          <w:jc w:val="center"/>
        </w:trPr>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6</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人际关系与沟通技巧</w:t>
            </w:r>
          </w:p>
        </w:tc>
        <w:tc>
          <w:tcPr>
            <w:tcW w:w="6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通过</w:t>
            </w:r>
            <w:r>
              <w:rPr>
                <w:rFonts w:hint="eastAsia" w:ascii="仿宋" w:hAnsi="仿宋" w:eastAsia="仿宋" w:cs="仿宋"/>
                <w:color w:val="000000"/>
                <w:kern w:val="0"/>
                <w:sz w:val="24"/>
                <w:szCs w:val="24"/>
                <w:lang w:val="en-US" w:eastAsia="zh-CN" w:bidi="ar"/>
              </w:rPr>
              <w:t>专题学习</w:t>
            </w:r>
            <w:r>
              <w:rPr>
                <w:rFonts w:hint="eastAsia" w:ascii="仿宋" w:hAnsi="仿宋" w:eastAsia="仿宋" w:cs="仿宋"/>
                <w:color w:val="000000"/>
                <w:kern w:val="0"/>
                <w:sz w:val="24"/>
                <w:szCs w:val="24"/>
                <w:lang w:bidi="ar"/>
              </w:rPr>
              <w:t>，</w:t>
            </w:r>
            <w:r>
              <w:rPr>
                <w:rFonts w:hint="eastAsia" w:ascii="仿宋" w:hAnsi="仿宋" w:eastAsia="仿宋" w:cs="仿宋"/>
                <w:color w:val="000000"/>
                <w:kern w:val="0"/>
                <w:sz w:val="24"/>
                <w:szCs w:val="24"/>
                <w:lang w:val="en-US" w:eastAsia="zh-CN" w:bidi="ar"/>
              </w:rPr>
              <w:t>使学生</w:t>
            </w:r>
            <w:r>
              <w:rPr>
                <w:rFonts w:hint="eastAsia" w:ascii="仿宋" w:hAnsi="仿宋" w:eastAsia="仿宋" w:cs="仿宋"/>
                <w:color w:val="000000"/>
                <w:kern w:val="0"/>
                <w:sz w:val="24"/>
                <w:szCs w:val="24"/>
                <w:lang w:bidi="ar"/>
              </w:rPr>
              <w:t>了解人际关系，掌握沟通技巧，实现有效沟通。</w:t>
            </w:r>
          </w:p>
        </w:tc>
      </w:tr>
    </w:tbl>
    <w:p>
      <w:pPr>
        <w:spacing w:line="560" w:lineRule="exact"/>
        <w:ind w:firstLine="643" w:firstLineChars="200"/>
        <w:jc w:val="left"/>
        <w:outlineLvl w:val="1"/>
        <w:rPr>
          <w:rFonts w:hint="eastAsia" w:ascii="楷体" w:hAnsi="楷体" w:eastAsia="楷体" w:cs="楷体"/>
          <w:b/>
          <w:bCs/>
          <w:color w:val="000000" w:themeColor="text1"/>
          <w:sz w:val="32"/>
          <w:szCs w:val="32"/>
          <w:lang w:eastAsia="zh-CN"/>
          <w14:textFill>
            <w14:solidFill>
              <w14:schemeClr w14:val="tx1"/>
            </w14:solidFill>
          </w14:textFill>
        </w:rPr>
      </w:pPr>
      <w:bookmarkStart w:id="43" w:name="_Toc32707"/>
      <w:bookmarkStart w:id="44" w:name="_Toc18187"/>
      <w:r>
        <w:rPr>
          <w:rFonts w:hint="eastAsia" w:ascii="楷体" w:hAnsi="楷体" w:eastAsia="楷体" w:cs="楷体"/>
          <w:b/>
          <w:bCs/>
          <w:color w:val="000000" w:themeColor="text1"/>
          <w:sz w:val="32"/>
          <w:szCs w:val="32"/>
          <w14:textFill>
            <w14:solidFill>
              <w14:schemeClr w14:val="tx1"/>
            </w14:solidFill>
          </w14:textFill>
        </w:rPr>
        <w:t>（四）资格认证课程</w:t>
      </w:r>
      <w:bookmarkEnd w:id="43"/>
      <w:bookmarkEnd w:id="44"/>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资格认证课程见表1-8。</w:t>
      </w:r>
    </w:p>
    <w:p>
      <w:pPr>
        <w:numPr>
          <w:ilvl w:val="0"/>
          <w:numId w:val="0"/>
        </w:numPr>
        <w:spacing w:line="560" w:lineRule="exact"/>
        <w:jc w:val="left"/>
        <w:rPr>
          <w:rFonts w:hint="eastAsia" w:ascii="楷体" w:hAnsi="楷体" w:eastAsia="楷体" w:cs="楷体"/>
          <w:b/>
          <w:bCs/>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28"/>
          <w:szCs w:val="28"/>
          <w:lang w:val="en-US" w:eastAsia="zh-CN"/>
          <w14:textFill>
            <w14:solidFill>
              <w14:schemeClr w14:val="tx1"/>
            </w14:solidFill>
          </w14:textFill>
        </w:rPr>
        <w:t>表1-8                     资格认证课程</w:t>
      </w:r>
    </w:p>
    <w:tbl>
      <w:tblPr>
        <w:tblStyle w:val="10"/>
        <w:tblW w:w="8579" w:type="dxa"/>
        <w:jc w:val="center"/>
        <w:tblLayout w:type="autofit"/>
        <w:tblCellMar>
          <w:top w:w="0" w:type="dxa"/>
          <w:left w:w="108" w:type="dxa"/>
          <w:bottom w:w="0" w:type="dxa"/>
          <w:right w:w="108" w:type="dxa"/>
        </w:tblCellMar>
      </w:tblPr>
      <w:tblGrid>
        <w:gridCol w:w="3207"/>
        <w:gridCol w:w="3212"/>
        <w:gridCol w:w="2160"/>
      </w:tblGrid>
      <w:tr>
        <w:tblPrEx>
          <w:tblCellMar>
            <w:top w:w="0" w:type="dxa"/>
            <w:left w:w="108" w:type="dxa"/>
            <w:bottom w:w="0" w:type="dxa"/>
            <w:right w:w="108" w:type="dxa"/>
          </w:tblCellMar>
        </w:tblPrEx>
        <w:trPr>
          <w:trHeight w:val="426" w:hRule="atLeast"/>
          <w:jc w:val="center"/>
        </w:trPr>
        <w:tc>
          <w:tcPr>
            <w:tcW w:w="3207"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color w:val="000000"/>
                <w:kern w:val="0"/>
                <w:sz w:val="24"/>
                <w:szCs w:val="24"/>
                <w:lang w:bidi="ar"/>
              </w:rPr>
            </w:pPr>
            <w:r>
              <w:rPr>
                <w:rFonts w:hint="eastAsia" w:ascii="仿宋" w:hAnsi="仿宋" w:eastAsia="仿宋" w:cs="仿宋"/>
                <w:b/>
                <w:bCs/>
                <w:color w:val="000000"/>
                <w:kern w:val="0"/>
                <w:sz w:val="24"/>
                <w:szCs w:val="24"/>
                <w:lang w:bidi="ar"/>
              </w:rPr>
              <w:t>证书名称</w:t>
            </w:r>
          </w:p>
        </w:tc>
        <w:tc>
          <w:tcPr>
            <w:tcW w:w="3212"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颁发机构</w:t>
            </w:r>
          </w:p>
        </w:tc>
        <w:tc>
          <w:tcPr>
            <w:tcW w:w="2160"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color w:val="000000"/>
                <w:kern w:val="0"/>
                <w:sz w:val="24"/>
                <w:szCs w:val="24"/>
                <w:lang w:val="en-US" w:eastAsia="zh-CN" w:bidi="ar"/>
              </w:rPr>
            </w:pPr>
            <w:r>
              <w:rPr>
                <w:rFonts w:hint="eastAsia" w:ascii="仿宋" w:hAnsi="仿宋" w:eastAsia="仿宋" w:cs="仿宋"/>
                <w:b/>
                <w:bCs/>
                <w:color w:val="000000"/>
                <w:kern w:val="0"/>
                <w:sz w:val="24"/>
                <w:szCs w:val="24"/>
                <w:lang w:bidi="ar"/>
              </w:rPr>
              <w:t>课程</w:t>
            </w:r>
            <w:r>
              <w:rPr>
                <w:rFonts w:hint="eastAsia" w:ascii="仿宋" w:hAnsi="仿宋" w:eastAsia="仿宋" w:cs="仿宋"/>
                <w:b/>
                <w:bCs/>
                <w:color w:val="000000"/>
                <w:kern w:val="0"/>
                <w:sz w:val="24"/>
                <w:szCs w:val="24"/>
                <w:lang w:val="en-US" w:eastAsia="zh-CN" w:bidi="ar"/>
              </w:rPr>
              <w:t>名称</w:t>
            </w:r>
          </w:p>
        </w:tc>
      </w:tr>
      <w:tr>
        <w:tblPrEx>
          <w:tblCellMar>
            <w:top w:w="0" w:type="dxa"/>
            <w:left w:w="108" w:type="dxa"/>
            <w:bottom w:w="0" w:type="dxa"/>
            <w:right w:w="108" w:type="dxa"/>
          </w:tblCellMar>
        </w:tblPrEx>
        <w:trPr>
          <w:trHeight w:val="426" w:hRule="atLeast"/>
          <w:jc w:val="center"/>
        </w:trPr>
        <w:tc>
          <w:tcPr>
            <w:tcW w:w="3207"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color w:val="000000"/>
                <w:kern w:val="0"/>
                <w:sz w:val="24"/>
                <w:szCs w:val="24"/>
                <w:lang w:bidi="ar"/>
              </w:rPr>
            </w:pPr>
            <w:r>
              <w:rPr>
                <w:rFonts w:hint="eastAsia" w:ascii="仿宋" w:hAnsi="仿宋" w:eastAsia="仿宋" w:cs="仿宋"/>
                <w:color w:val="000000"/>
                <w:kern w:val="0"/>
                <w:sz w:val="24"/>
                <w:szCs w:val="24"/>
                <w:lang w:bidi="ar"/>
              </w:rPr>
              <w:t>全国计算机等级考试（一级）</w:t>
            </w:r>
          </w:p>
        </w:tc>
        <w:tc>
          <w:tcPr>
            <w:tcW w:w="3212"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教育部考试中心</w:t>
            </w:r>
          </w:p>
        </w:tc>
        <w:tc>
          <w:tcPr>
            <w:tcW w:w="2160"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color w:val="000000"/>
                <w:kern w:val="0"/>
                <w:sz w:val="24"/>
                <w:szCs w:val="24"/>
                <w:lang w:bidi="ar"/>
              </w:rPr>
            </w:pPr>
            <w:r>
              <w:rPr>
                <w:rFonts w:hint="eastAsia" w:ascii="仿宋" w:hAnsi="仿宋" w:eastAsia="仿宋" w:cs="仿宋"/>
                <w:color w:val="000000"/>
                <w:sz w:val="24"/>
                <w:szCs w:val="24"/>
              </w:rPr>
              <w:t>信息技术</w:t>
            </w:r>
          </w:p>
        </w:tc>
      </w:tr>
      <w:tr>
        <w:tblPrEx>
          <w:tblCellMar>
            <w:top w:w="0" w:type="dxa"/>
            <w:left w:w="108" w:type="dxa"/>
            <w:bottom w:w="0" w:type="dxa"/>
            <w:right w:w="108" w:type="dxa"/>
          </w:tblCellMar>
        </w:tblPrEx>
        <w:trPr>
          <w:trHeight w:val="426" w:hRule="atLeast"/>
          <w:jc w:val="center"/>
        </w:trPr>
        <w:tc>
          <w:tcPr>
            <w:tcW w:w="320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普通话</w:t>
            </w:r>
          </w:p>
        </w:tc>
        <w:tc>
          <w:tcPr>
            <w:tcW w:w="321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i w:val="0"/>
                <w:iCs w:val="0"/>
                <w:caps w:val="0"/>
                <w:color w:val="333333"/>
                <w:spacing w:val="0"/>
                <w:sz w:val="24"/>
                <w:szCs w:val="24"/>
                <w:shd w:val="clear" w:fill="FFFFFF"/>
              </w:rPr>
              <w:t>国家语言文字工作委员会</w:t>
            </w:r>
          </w:p>
        </w:tc>
        <w:tc>
          <w:tcPr>
            <w:tcW w:w="216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语文</w:t>
            </w:r>
          </w:p>
        </w:tc>
      </w:tr>
      <w:tr>
        <w:tblPrEx>
          <w:tblCellMar>
            <w:top w:w="0" w:type="dxa"/>
            <w:left w:w="108" w:type="dxa"/>
            <w:bottom w:w="0" w:type="dxa"/>
            <w:right w:w="108" w:type="dxa"/>
          </w:tblCellMar>
        </w:tblPrEx>
        <w:trPr>
          <w:trHeight w:val="426" w:hRule="atLeast"/>
          <w:jc w:val="center"/>
        </w:trPr>
        <w:tc>
          <w:tcPr>
            <w:tcW w:w="3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财务共享服务（初级）</w:t>
            </w:r>
          </w:p>
        </w:tc>
        <w:tc>
          <w:tcPr>
            <w:tcW w:w="321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北京东大正保科技有限公司</w:t>
            </w:r>
          </w:p>
        </w:tc>
        <w:tc>
          <w:tcPr>
            <w:tcW w:w="21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财务共享服务</w:t>
            </w:r>
          </w:p>
        </w:tc>
      </w:tr>
      <w:tr>
        <w:tblPrEx>
          <w:tblCellMar>
            <w:top w:w="0" w:type="dxa"/>
            <w:left w:w="108" w:type="dxa"/>
            <w:bottom w:w="0" w:type="dxa"/>
            <w:right w:w="108" w:type="dxa"/>
          </w:tblCellMar>
        </w:tblPrEx>
        <w:trPr>
          <w:trHeight w:val="446" w:hRule="atLeast"/>
          <w:jc w:val="center"/>
        </w:trPr>
        <w:tc>
          <w:tcPr>
            <w:tcW w:w="3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财务数字化应用（初级）</w:t>
            </w:r>
          </w:p>
        </w:tc>
        <w:tc>
          <w:tcPr>
            <w:tcW w:w="321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新道科技股份有限公司</w:t>
            </w:r>
          </w:p>
        </w:tc>
        <w:tc>
          <w:tcPr>
            <w:tcW w:w="21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财务数字化应用</w:t>
            </w:r>
          </w:p>
        </w:tc>
      </w:tr>
    </w:tbl>
    <w:p>
      <w:pPr>
        <w:spacing w:line="560" w:lineRule="exact"/>
        <w:ind w:firstLine="643" w:firstLineChars="200"/>
        <w:jc w:val="left"/>
        <w:outlineLvl w:val="1"/>
        <w:rPr>
          <w:rFonts w:hint="eastAsia" w:ascii="楷体" w:hAnsi="楷体" w:eastAsia="楷体" w:cs="楷体"/>
          <w:b/>
          <w:bCs/>
          <w:color w:val="000000" w:themeColor="text1"/>
          <w:sz w:val="32"/>
          <w:szCs w:val="32"/>
          <w14:textFill>
            <w14:solidFill>
              <w14:schemeClr w14:val="tx1"/>
            </w14:solidFill>
          </w14:textFill>
        </w:rPr>
      </w:pPr>
      <w:bookmarkStart w:id="45" w:name="_Toc5507"/>
      <w:bookmarkStart w:id="46" w:name="_Toc9861"/>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楷体" w:hAnsi="楷体" w:eastAsia="楷体" w:cs="楷体"/>
          <w:b/>
          <w:bCs/>
          <w:color w:val="000000" w:themeColor="text1"/>
          <w:sz w:val="32"/>
          <w:szCs w:val="32"/>
          <w:lang w:val="en-US" w:eastAsia="zh-CN"/>
          <w14:textFill>
            <w14:solidFill>
              <w14:schemeClr w14:val="tx1"/>
            </w14:solidFill>
          </w14:textFill>
        </w:rPr>
        <w:t>五</w:t>
      </w:r>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楷体" w:hAnsi="楷体" w:eastAsia="楷体" w:cs="楷体"/>
          <w:b/>
          <w:bCs/>
          <w:color w:val="000000" w:themeColor="text1"/>
          <w:sz w:val="32"/>
          <w:szCs w:val="32"/>
          <w14:textFill>
            <w14:solidFill>
              <w14:schemeClr w14:val="tx1"/>
            </w14:solidFill>
          </w14:textFill>
        </w:rPr>
        <w:t>实践性教学环节</w:t>
      </w:r>
      <w:bookmarkEnd w:id="45"/>
      <w:bookmarkEnd w:id="46"/>
    </w:p>
    <w:p>
      <w:pPr>
        <w:numPr>
          <w:ilvl w:val="0"/>
          <w:numId w:val="0"/>
        </w:numPr>
        <w:spacing w:line="560" w:lineRule="exact"/>
        <w:ind w:firstLine="640" w:firstLineChars="200"/>
        <w:jc w:val="left"/>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实践性教学环节主要包括实训、实习、社会实践等。在校内外进行</w:t>
      </w:r>
      <w:r>
        <w:rPr>
          <w:rFonts w:hint="eastAsia" w:ascii="仿宋" w:hAnsi="仿宋" w:eastAsia="仿宋" w:cs="仿宋"/>
          <w:b w:val="0"/>
          <w:bCs w:val="0"/>
          <w:color w:val="000000" w:themeColor="text1"/>
          <w:sz w:val="32"/>
          <w:szCs w:val="32"/>
          <w:lang w:val="en-US" w:eastAsia="zh-CN"/>
          <w14:textFill>
            <w14:solidFill>
              <w14:schemeClr w14:val="tx1"/>
            </w14:solidFill>
          </w14:textFill>
        </w:rPr>
        <w:t>虚拟</w:t>
      </w:r>
      <w:r>
        <w:rPr>
          <w:rFonts w:hint="eastAsia" w:ascii="仿宋" w:hAnsi="仿宋" w:eastAsia="仿宋" w:cs="仿宋"/>
          <w:b w:val="0"/>
          <w:bCs w:val="0"/>
          <w:color w:val="000000" w:themeColor="text1"/>
          <w:sz w:val="32"/>
          <w:szCs w:val="32"/>
          <w14:textFill>
            <w14:solidFill>
              <w14:schemeClr w14:val="tx1"/>
            </w14:solidFill>
          </w14:textFill>
        </w:rPr>
        <w:t>仿真模拟、会计软件操作等综合实训。实训实习既是实践性教学，也是专业课教学的重要内容，应注重理论与实践一体化教学。</w:t>
      </w:r>
    </w:p>
    <w:p>
      <w:pPr>
        <w:numPr>
          <w:ilvl w:val="0"/>
          <w:numId w:val="0"/>
        </w:numPr>
        <w:spacing w:line="560" w:lineRule="exact"/>
        <w:ind w:firstLine="640" w:firstLineChars="200"/>
        <w:jc w:val="left"/>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岗位实习安排应严格执行《职业学校学生实习管理规定》</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lang w:val="en-US" w:eastAsia="zh-CN"/>
          <w14:textFill>
            <w14:solidFill>
              <w14:schemeClr w14:val="tx1"/>
            </w14:solidFill>
          </w14:textFill>
        </w:rPr>
        <w:t>岗位实习内容参照</w:t>
      </w:r>
      <w:r>
        <w:rPr>
          <w:rFonts w:hint="eastAsia" w:ascii="仿宋" w:hAnsi="仿宋" w:eastAsia="仿宋" w:cs="仿宋"/>
          <w:b w:val="0"/>
          <w:bCs w:val="0"/>
          <w:color w:val="000000" w:themeColor="text1"/>
          <w:sz w:val="32"/>
          <w:szCs w:val="32"/>
          <w14:textFill>
            <w14:solidFill>
              <w14:schemeClr w14:val="tx1"/>
            </w14:solidFill>
          </w14:textFill>
        </w:rPr>
        <w:t>《职业学校专业(类)岗位实习标准》的有关要求</w:t>
      </w:r>
      <w:r>
        <w:rPr>
          <w:rFonts w:hint="eastAsia" w:ascii="仿宋" w:hAnsi="仿宋" w:eastAsia="仿宋" w:cs="仿宋"/>
          <w:b w:val="0"/>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560" w:lineRule="exact"/>
        <w:ind w:firstLine="570"/>
        <w:jc w:val="left"/>
        <w:textAlignment w:val="auto"/>
        <w:rPr>
          <w:rFonts w:hint="eastAsia"/>
          <w:lang w:eastAsia="zh-CN"/>
        </w:rPr>
      </w:pPr>
      <w:r>
        <w:rPr>
          <w:rFonts w:hint="eastAsia" w:ascii="仿宋" w:hAnsi="仿宋" w:eastAsia="仿宋" w:cs="仿宋"/>
          <w:bCs/>
          <w:color w:val="000000" w:themeColor="text1"/>
          <w:sz w:val="32"/>
          <w:szCs w:val="32"/>
          <w:lang w:val="en-US" w:eastAsia="zh-CN"/>
          <w14:textFill>
            <w14:solidFill>
              <w14:schemeClr w14:val="tx1"/>
            </w14:solidFill>
          </w14:textFill>
        </w:rPr>
        <w:t>岗位</w:t>
      </w:r>
      <w:r>
        <w:rPr>
          <w:rFonts w:hint="eastAsia" w:ascii="仿宋" w:hAnsi="仿宋" w:eastAsia="仿宋" w:cs="仿宋"/>
          <w:bCs/>
          <w:color w:val="000000" w:themeColor="text1"/>
          <w:sz w:val="32"/>
          <w:szCs w:val="32"/>
          <w14:textFill>
            <w14:solidFill>
              <w14:schemeClr w14:val="tx1"/>
            </w14:solidFill>
          </w14:textFill>
        </w:rPr>
        <w:t>实习时间</w:t>
      </w:r>
      <w:r>
        <w:rPr>
          <w:rFonts w:hint="eastAsia" w:ascii="仿宋" w:hAnsi="仿宋" w:eastAsia="仿宋" w:cs="仿宋"/>
          <w:bCs/>
          <w:color w:val="000000" w:themeColor="text1"/>
          <w:sz w:val="32"/>
          <w:szCs w:val="32"/>
          <w:lang w:val="en-US" w:eastAsia="zh-CN"/>
          <w14:textFill>
            <w14:solidFill>
              <w14:schemeClr w14:val="tx1"/>
            </w14:solidFill>
          </w14:textFill>
        </w:rPr>
        <w:t>主要</w:t>
      </w:r>
      <w:r>
        <w:rPr>
          <w:rFonts w:hint="eastAsia" w:ascii="仿宋" w:hAnsi="仿宋" w:eastAsia="仿宋" w:cs="仿宋"/>
          <w:bCs/>
          <w:color w:val="000000" w:themeColor="text1"/>
          <w:sz w:val="32"/>
          <w:szCs w:val="32"/>
          <w14:textFill>
            <w14:solidFill>
              <w14:schemeClr w14:val="tx1"/>
            </w14:solidFill>
          </w14:textFill>
        </w:rPr>
        <w:t>安排在第</w:t>
      </w:r>
      <w:r>
        <w:rPr>
          <w:rFonts w:hint="eastAsia" w:ascii="仿宋" w:hAnsi="仿宋" w:eastAsia="仿宋" w:cs="仿宋"/>
          <w:bCs/>
          <w:color w:val="000000" w:themeColor="text1"/>
          <w:sz w:val="32"/>
          <w:szCs w:val="32"/>
          <w:lang w:val="en-US" w:eastAsia="zh-CN"/>
          <w14:textFill>
            <w14:solidFill>
              <w14:schemeClr w14:val="tx1"/>
            </w14:solidFill>
          </w14:textFill>
        </w:rPr>
        <w:t>四</w:t>
      </w:r>
      <w:r>
        <w:rPr>
          <w:rFonts w:hint="eastAsia" w:ascii="仿宋" w:hAnsi="仿宋" w:eastAsia="仿宋" w:cs="仿宋"/>
          <w:bCs/>
          <w:color w:val="000000" w:themeColor="text1"/>
          <w:sz w:val="32"/>
          <w:szCs w:val="32"/>
          <w14:textFill>
            <w14:solidFill>
              <w14:schemeClr w14:val="tx1"/>
            </w14:solidFill>
          </w14:textFill>
        </w:rPr>
        <w:t>学期</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lang w:val="en-US" w:eastAsia="zh-CN"/>
          <w14:textFill>
            <w14:solidFill>
              <w14:schemeClr w14:val="tx1"/>
            </w14:solidFill>
          </w14:textFill>
        </w:rPr>
        <w:t>第五学期、第六学期</w:t>
      </w:r>
      <w:r>
        <w:rPr>
          <w:rFonts w:hint="eastAsia" w:ascii="仿宋" w:hAnsi="仿宋" w:eastAsia="仿宋" w:cs="仿宋"/>
          <w:bCs/>
          <w:color w:val="000000" w:themeColor="text1"/>
          <w:sz w:val="32"/>
          <w:szCs w:val="32"/>
          <w14:textFill>
            <w14:solidFill>
              <w14:schemeClr w14:val="tx1"/>
            </w14:solidFill>
          </w14:textFill>
        </w:rPr>
        <w:t>。第</w:t>
      </w:r>
      <w:r>
        <w:rPr>
          <w:rFonts w:hint="eastAsia" w:ascii="仿宋" w:hAnsi="仿宋" w:eastAsia="仿宋" w:cs="仿宋"/>
          <w:bCs/>
          <w:color w:val="000000" w:themeColor="text1"/>
          <w:sz w:val="32"/>
          <w:szCs w:val="32"/>
          <w:lang w:val="en-US" w:eastAsia="zh-CN"/>
          <w14:textFill>
            <w14:solidFill>
              <w14:schemeClr w14:val="tx1"/>
            </w14:solidFill>
          </w14:textFill>
        </w:rPr>
        <w:t>四</w:t>
      </w:r>
      <w:r>
        <w:rPr>
          <w:rFonts w:hint="eastAsia" w:ascii="仿宋" w:hAnsi="仿宋" w:eastAsia="仿宋" w:cs="仿宋"/>
          <w:bCs/>
          <w:color w:val="000000" w:themeColor="text1"/>
          <w:sz w:val="32"/>
          <w:szCs w:val="32"/>
          <w14:textFill>
            <w14:solidFill>
              <w14:schemeClr w14:val="tx1"/>
            </w14:solidFill>
          </w14:textFill>
        </w:rPr>
        <w:t>学期</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lang w:val="en-US" w:eastAsia="zh-CN"/>
          <w14:textFill>
            <w14:solidFill>
              <w14:schemeClr w14:val="tx1"/>
            </w14:solidFill>
          </w14:textFill>
        </w:rPr>
        <w:t>第五学期以校内实训为主，第六学期以校外实习为主。</w:t>
      </w:r>
    </w:p>
    <w:p>
      <w:pPr>
        <w:numPr>
          <w:ilvl w:val="0"/>
          <w:numId w:val="0"/>
        </w:numPr>
        <w:spacing w:line="560" w:lineRule="exact"/>
        <w:ind w:firstLine="640" w:firstLineChars="200"/>
        <w:jc w:val="left"/>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实习实训工作任务及岗位能力分析见表1-9。</w:t>
      </w:r>
    </w:p>
    <w:p>
      <w:pPr>
        <w:numPr>
          <w:ilvl w:val="0"/>
          <w:numId w:val="0"/>
        </w:numPr>
        <w:spacing w:line="560" w:lineRule="exact"/>
        <w:jc w:val="left"/>
        <w:rPr>
          <w:rFonts w:hint="default" w:ascii="仿宋" w:hAnsi="仿宋" w:eastAsia="仿宋" w:cs="仿宋"/>
          <w:b w:val="0"/>
          <w:bCs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color w:val="000000" w:themeColor="text1"/>
          <w:sz w:val="28"/>
          <w:szCs w:val="28"/>
          <w:lang w:val="en-US" w:eastAsia="zh-CN"/>
          <w14:textFill>
            <w14:solidFill>
              <w14:schemeClr w14:val="tx1"/>
            </w14:solidFill>
          </w14:textFill>
        </w:rPr>
        <w:t>表1-9           实习实训工作任务及岗位能力分析表</w:t>
      </w:r>
    </w:p>
    <w:tbl>
      <w:tblPr>
        <w:tblStyle w:val="11"/>
        <w:tblW w:w="87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98"/>
        <w:gridCol w:w="3593"/>
        <w:gridCol w:w="3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89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color w:val="000000" w:themeColor="text1"/>
                <w:sz w:val="24"/>
                <w:szCs w:val="24"/>
                <w:vertAlign w:val="baseline"/>
                <w:lang w:val="en-US" w:eastAsia="zh-CN"/>
                <w14:textFill>
                  <w14:solidFill>
                    <w14:schemeClr w14:val="tx1"/>
                  </w14:solidFill>
                </w14:textFill>
              </w:rPr>
            </w:pPr>
            <w: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t>实习实训岗位</w:t>
            </w:r>
          </w:p>
        </w:tc>
        <w:tc>
          <w:tcPr>
            <w:tcW w:w="359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color w:val="000000" w:themeColor="text1"/>
                <w:sz w:val="24"/>
                <w:szCs w:val="24"/>
                <w:vertAlign w:val="baseline"/>
                <w:lang w:val="en-US" w:eastAsia="zh-CN"/>
                <w14:textFill>
                  <w14:solidFill>
                    <w14:schemeClr w14:val="tx1"/>
                  </w14:solidFill>
                </w14:textFill>
              </w:rPr>
            </w:pPr>
            <w: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t>工作内容</w:t>
            </w:r>
          </w:p>
        </w:tc>
        <w:tc>
          <w:tcPr>
            <w:tcW w:w="32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仿宋" w:hAnsi="仿宋" w:eastAsia="仿宋" w:cs="仿宋"/>
                <w:b/>
                <w:bCs/>
                <w:color w:val="000000" w:themeColor="text1"/>
                <w:sz w:val="24"/>
                <w:szCs w:val="24"/>
                <w:vertAlign w:val="baseline"/>
                <w:lang w:val="en-US" w:eastAsia="zh-CN"/>
                <w14:textFill>
                  <w14:solidFill>
                    <w14:schemeClr w14:val="tx1"/>
                  </w14:solidFill>
                </w14:textFill>
              </w:rPr>
            </w:pPr>
            <w: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t>岗位能力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189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出纳</w:t>
            </w:r>
          </w:p>
        </w:tc>
        <w:tc>
          <w:tcPr>
            <w:tcW w:w="3593"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现金收付；</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bookmarkStart w:id="47" w:name="_Toc15878"/>
            <w:bookmarkStart w:id="48" w:name="_Toc17335"/>
            <w:bookmarkStart w:id="49" w:name="_Toc29126"/>
            <w:bookmarkStart w:id="50" w:name="_Toc29233"/>
            <w:r>
              <w:rPr>
                <w:rFonts w:hint="eastAsia" w:ascii="仿宋" w:hAnsi="仿宋" w:eastAsia="仿宋" w:cs="仿宋"/>
                <w:color w:val="000000" w:themeColor="text1"/>
                <w:sz w:val="24"/>
                <w:szCs w:val="24"/>
                <w:vertAlign w:val="baseline"/>
                <w:lang w:val="en-US" w:eastAsia="zh-CN"/>
                <w14:textFill>
                  <w14:solidFill>
                    <w14:schemeClr w14:val="tx1"/>
                  </w14:solidFill>
                </w14:textFill>
              </w:rPr>
              <w:t>银行业务处理；</w:t>
            </w:r>
            <w:bookmarkEnd w:id="47"/>
            <w:bookmarkEnd w:id="48"/>
            <w:bookmarkEnd w:id="49"/>
            <w:bookmarkEnd w:id="50"/>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lang w:val="en-US" w:eastAsia="zh-CN"/>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支付、报销审核。</w:t>
            </w:r>
          </w:p>
        </w:tc>
        <w:tc>
          <w:tcPr>
            <w:tcW w:w="3267"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业务单据处理能力；</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出纳实务能力；</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日清月结意识。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7" w:hRule="atLeast"/>
          <w:jc w:val="center"/>
        </w:trPr>
        <w:tc>
          <w:tcPr>
            <w:tcW w:w="189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总账会计</w:t>
            </w:r>
          </w:p>
        </w:tc>
        <w:tc>
          <w:tcPr>
            <w:tcW w:w="3593"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right="0"/>
              <w:jc w:val="both"/>
              <w:textAlignment w:val="auto"/>
              <w:outlineLvl w:val="9"/>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熟悉会计信息化系统；</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right="0"/>
              <w:jc w:val="both"/>
              <w:textAlignment w:val="auto"/>
              <w:outlineLvl w:val="9"/>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成本分析及控制；</w:t>
            </w:r>
          </w:p>
          <w:p>
            <w:pPr>
              <w:keepNext w:val="0"/>
              <w:keepLines w:val="0"/>
              <w:pageBreakBefore w:val="0"/>
              <w:widowControl w:val="0"/>
              <w:kinsoku/>
              <w:wordWrap/>
              <w:overflowPunct/>
              <w:topLinePunct w:val="0"/>
              <w:autoSpaceDE/>
              <w:autoSpaceDN/>
              <w:bidi w:val="0"/>
              <w:adjustRightInd/>
              <w:snapToGrid/>
              <w:spacing w:line="400" w:lineRule="exact"/>
              <w:ind w:left="0" w:right="0"/>
              <w:jc w:val="both"/>
              <w:textAlignment w:val="auto"/>
              <w:outlineLvl w:val="9"/>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记账凭证的填制、删除、修改；</w:t>
            </w:r>
          </w:p>
          <w:p>
            <w:pPr>
              <w:keepNext w:val="0"/>
              <w:keepLines w:val="0"/>
              <w:pageBreakBefore w:val="0"/>
              <w:widowControl w:val="0"/>
              <w:kinsoku/>
              <w:wordWrap/>
              <w:overflowPunct/>
              <w:topLinePunct w:val="0"/>
              <w:autoSpaceDE/>
              <w:autoSpaceDN/>
              <w:bidi w:val="0"/>
              <w:adjustRightInd/>
              <w:snapToGrid/>
              <w:spacing w:line="400" w:lineRule="exact"/>
              <w:ind w:left="0" w:right="0"/>
              <w:jc w:val="both"/>
              <w:textAlignment w:val="auto"/>
              <w:outlineLvl w:val="9"/>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 xml:space="preserve">期末结转损益和记账。 </w:t>
            </w:r>
          </w:p>
        </w:tc>
        <w:tc>
          <w:tcPr>
            <w:tcW w:w="3267"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业务单据处理能力；</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会计信息化系统操作能力；</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会计核算能力。</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189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税务会计</w:t>
            </w:r>
          </w:p>
        </w:tc>
        <w:tc>
          <w:tcPr>
            <w:tcW w:w="3593"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firstLine="0" w:firstLineChars="0"/>
              <w:jc w:val="both"/>
              <w:textAlignment w:val="auto"/>
              <w:outlineLvl w:val="9"/>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税务发票的开具、认证等工作；</w:t>
            </w:r>
          </w:p>
          <w:p>
            <w:pPr>
              <w:keepNext w:val="0"/>
              <w:keepLines w:val="0"/>
              <w:pageBreakBefore w:val="0"/>
              <w:widowControl w:val="0"/>
              <w:kinsoku/>
              <w:wordWrap/>
              <w:overflowPunct/>
              <w:topLinePunct w:val="0"/>
              <w:autoSpaceDE/>
              <w:autoSpaceDN/>
              <w:bidi w:val="0"/>
              <w:adjustRightInd/>
              <w:snapToGrid/>
              <w:spacing w:line="400" w:lineRule="exact"/>
              <w:ind w:left="0" w:leftChars="0" w:right="0" w:firstLine="0" w:firstLineChars="0"/>
              <w:textAlignment w:val="auto"/>
              <w:outlineLvl w:val="9"/>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各项涉税业务的核算、管理；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firstLine="0" w:firstLineChars="0"/>
              <w:textAlignment w:val="auto"/>
              <w:outlineLvl w:val="9"/>
              <w:rPr>
                <w:rFonts w:hint="default"/>
                <w:lang w:val="en-US" w:eastAsia="zh-CN"/>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对纳税申报情况进行分析。</w:t>
            </w:r>
          </w:p>
        </w:tc>
        <w:tc>
          <w:tcPr>
            <w:tcW w:w="3267"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税务核算能力；</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税务申报能力；</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发票认证能力。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189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财务主管</w:t>
            </w:r>
          </w:p>
        </w:tc>
        <w:tc>
          <w:tcPr>
            <w:tcW w:w="3593"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 xml:space="preserve">原始业务单据审批;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记账凭证审核；</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出具财务报表；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税费的申报和缴纳。</w:t>
            </w:r>
          </w:p>
        </w:tc>
        <w:tc>
          <w:tcPr>
            <w:tcW w:w="3267"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业务审核能力；</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会计信息化系统操作能力；</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财务分析能力；</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管理沟通协调能力。</w:t>
            </w:r>
          </w:p>
        </w:tc>
      </w:tr>
    </w:tbl>
    <w:p>
      <w:pPr>
        <w:spacing w:line="560" w:lineRule="exact"/>
        <w:ind w:firstLine="643" w:firstLineChars="200"/>
        <w:jc w:val="left"/>
        <w:outlineLvl w:val="1"/>
        <w:rPr>
          <w:rFonts w:hint="eastAsia" w:ascii="楷体" w:hAnsi="楷体" w:eastAsia="楷体" w:cs="楷体"/>
          <w:b/>
          <w:bCs/>
          <w:color w:val="000000" w:themeColor="text1"/>
          <w:sz w:val="32"/>
          <w:szCs w:val="32"/>
          <w14:textFill>
            <w14:solidFill>
              <w14:schemeClr w14:val="tx1"/>
            </w14:solidFill>
          </w14:textFill>
        </w:rPr>
      </w:pPr>
      <w:bookmarkStart w:id="51" w:name="_Toc5200"/>
      <w:bookmarkStart w:id="52" w:name="_Toc26600"/>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楷体" w:hAnsi="楷体" w:eastAsia="楷体" w:cs="楷体"/>
          <w:b/>
          <w:bCs/>
          <w:color w:val="000000" w:themeColor="text1"/>
          <w:sz w:val="32"/>
          <w:szCs w:val="32"/>
          <w:lang w:val="en-US" w:eastAsia="zh-CN"/>
          <w14:textFill>
            <w14:solidFill>
              <w14:schemeClr w14:val="tx1"/>
            </w14:solidFill>
          </w14:textFill>
        </w:rPr>
        <w:t>六</w:t>
      </w:r>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楷体" w:hAnsi="楷体" w:eastAsia="楷体" w:cs="楷体"/>
          <w:b/>
          <w:bCs/>
          <w:color w:val="000000" w:themeColor="text1"/>
          <w:sz w:val="32"/>
          <w:szCs w:val="32"/>
          <w14:textFill>
            <w14:solidFill>
              <w14:schemeClr w14:val="tx1"/>
            </w14:solidFill>
          </w14:textFill>
        </w:rPr>
        <w:t>相关要求</w:t>
      </w:r>
      <w:bookmarkEnd w:id="51"/>
      <w:bookmarkEnd w:id="52"/>
    </w:p>
    <w:p>
      <w:pPr>
        <w:numPr>
          <w:ilvl w:val="0"/>
          <w:numId w:val="0"/>
        </w:numPr>
        <w:spacing w:line="560" w:lineRule="exact"/>
        <w:ind w:firstLine="640" w:firstLineChars="200"/>
        <w:jc w:val="left"/>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本专业落实课程思政，推进全员、全过程、全方位育人，实现思想政治教育与技术技能培养的有机统一。开设人际关系与沟通技巧、创新创业教育、就业指导等方面的专题讲座，将志愿服务活动和</w:t>
      </w:r>
      <w:r>
        <w:rPr>
          <w:rFonts w:hint="eastAsia" w:ascii="仿宋" w:hAnsi="仿宋" w:eastAsia="仿宋" w:cs="仿宋"/>
          <w:b w:val="0"/>
          <w:bCs w:val="0"/>
          <w:color w:val="000000" w:themeColor="text1"/>
          <w:sz w:val="32"/>
          <w:szCs w:val="32"/>
          <w:lang w:val="en-US" w:eastAsia="zh-CN"/>
          <w14:textFill>
            <w14:solidFill>
              <w14:schemeClr w14:val="tx1"/>
            </w14:solidFill>
          </w14:textFill>
        </w:rPr>
        <w:t>劳动</w:t>
      </w:r>
      <w:r>
        <w:rPr>
          <w:rFonts w:hint="eastAsia" w:ascii="仿宋" w:hAnsi="仿宋" w:eastAsia="仿宋" w:cs="仿宋"/>
          <w:b w:val="0"/>
          <w:bCs w:val="0"/>
          <w:color w:val="000000" w:themeColor="text1"/>
          <w:sz w:val="32"/>
          <w:szCs w:val="32"/>
          <w14:textFill>
            <w14:solidFill>
              <w14:schemeClr w14:val="tx1"/>
            </w14:solidFill>
          </w14:textFill>
        </w:rPr>
        <w:t>实践活动融入有关实践性教学环节中。</w:t>
      </w:r>
    </w:p>
    <w:p>
      <w:pPr>
        <w:numPr>
          <w:ilvl w:val="0"/>
          <w:numId w:val="0"/>
        </w:numPr>
        <w:spacing w:line="560" w:lineRule="exact"/>
        <w:ind w:firstLine="640" w:firstLineChars="200"/>
        <w:jc w:val="left"/>
        <w:outlineLvl w:val="0"/>
        <w:rPr>
          <w:rFonts w:ascii="黑体" w:hAnsi="黑体" w:eastAsia="黑体" w:cs="黑体"/>
          <w:color w:val="000000" w:themeColor="text1"/>
          <w:sz w:val="32"/>
          <w:szCs w:val="32"/>
          <w14:textFill>
            <w14:solidFill>
              <w14:schemeClr w14:val="tx1"/>
            </w14:solidFill>
          </w14:textFill>
        </w:rPr>
      </w:pPr>
      <w:bookmarkStart w:id="53" w:name="_Toc5183"/>
      <w:bookmarkStart w:id="54" w:name="_Toc31348"/>
      <w:r>
        <w:rPr>
          <w:rFonts w:hint="eastAsia" w:ascii="黑体" w:hAnsi="黑体" w:eastAsia="黑体" w:cs="黑体"/>
          <w:color w:val="000000" w:themeColor="text1"/>
          <w:sz w:val="32"/>
          <w:szCs w:val="32"/>
          <w:lang w:val="en-US" w:eastAsia="zh-CN"/>
          <w14:textFill>
            <w14:solidFill>
              <w14:schemeClr w14:val="tx1"/>
            </w14:solidFill>
          </w14:textFill>
        </w:rPr>
        <w:t>九、</w:t>
      </w:r>
      <w:r>
        <w:rPr>
          <w:rFonts w:hint="eastAsia" w:ascii="黑体" w:hAnsi="黑体" w:eastAsia="黑体" w:cs="黑体"/>
          <w:color w:val="000000" w:themeColor="text1"/>
          <w:sz w:val="32"/>
          <w:szCs w:val="32"/>
          <w14:textFill>
            <w14:solidFill>
              <w14:schemeClr w14:val="tx1"/>
            </w14:solidFill>
          </w14:textFill>
        </w:rPr>
        <w:t>教学进程总体安排</w:t>
      </w:r>
      <w:bookmarkEnd w:id="53"/>
      <w:bookmarkEnd w:id="54"/>
    </w:p>
    <w:p>
      <w:pPr>
        <w:numPr>
          <w:ilvl w:val="0"/>
          <w:numId w:val="0"/>
        </w:numPr>
        <w:spacing w:line="560" w:lineRule="exact"/>
        <w:ind w:firstLine="640" w:firstLineChars="200"/>
        <w:jc w:val="left"/>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教学进程总体安排表见表1-10。</w:t>
      </w:r>
    </w:p>
    <w:p>
      <w:pPr>
        <w:spacing w:line="560" w:lineRule="exact"/>
        <w:jc w:val="left"/>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lang w:val="en-US" w:eastAsia="zh-CN"/>
          <w14:textFill>
            <w14:solidFill>
              <w14:schemeClr w14:val="tx1"/>
            </w14:solidFill>
          </w14:textFill>
        </w:rPr>
        <w:t xml:space="preserve">表1-10                  </w:t>
      </w:r>
      <w:r>
        <w:rPr>
          <w:rFonts w:hint="eastAsia" w:ascii="仿宋" w:hAnsi="仿宋" w:eastAsia="仿宋" w:cs="仿宋"/>
          <w:b w:val="0"/>
          <w:bCs w:val="0"/>
          <w:color w:val="000000" w:themeColor="text1"/>
          <w:sz w:val="28"/>
          <w:szCs w:val="28"/>
          <w14:textFill>
            <w14:solidFill>
              <w14:schemeClr w14:val="tx1"/>
            </w14:solidFill>
          </w14:textFill>
        </w:rPr>
        <w:t>教学进程总体安排表</w:t>
      </w:r>
    </w:p>
    <w:tbl>
      <w:tblPr>
        <w:tblStyle w:val="10"/>
        <w:tblW w:w="82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09"/>
        <w:gridCol w:w="487"/>
        <w:gridCol w:w="656"/>
        <w:gridCol w:w="438"/>
        <w:gridCol w:w="2426"/>
        <w:gridCol w:w="656"/>
        <w:gridCol w:w="535"/>
        <w:gridCol w:w="535"/>
        <w:gridCol w:w="453"/>
        <w:gridCol w:w="468"/>
        <w:gridCol w:w="475"/>
        <w:gridCol w:w="4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109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2"/>
                <w:szCs w:val="22"/>
                <w:u w:val="none"/>
                <w:lang w:val="en-US" w:eastAsia="zh-CN" w:bidi="ar"/>
              </w:rPr>
            </w:pPr>
            <w:r>
              <w:rPr>
                <w:rFonts w:hint="eastAsia" w:ascii="仿宋" w:hAnsi="仿宋" w:eastAsia="仿宋" w:cs="仿宋"/>
                <w:b/>
                <w:bCs/>
                <w:i w:val="0"/>
                <w:iCs w:val="0"/>
                <w:color w:val="000000"/>
                <w:kern w:val="0"/>
                <w:sz w:val="22"/>
                <w:szCs w:val="22"/>
                <w:u w:val="none"/>
                <w:lang w:val="en-US" w:eastAsia="zh-CN" w:bidi="ar"/>
              </w:rPr>
              <w:t>课程</w:t>
            </w:r>
          </w:p>
          <w:p>
            <w:pPr>
              <w:keepNext w:val="0"/>
              <w:keepLines w:val="0"/>
              <w:widowControl/>
              <w:suppressLineNumbers w:val="0"/>
              <w:jc w:val="center"/>
              <w:textAlignment w:val="center"/>
              <w:rPr>
                <w:rFonts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类别</w:t>
            </w:r>
          </w:p>
        </w:tc>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课程</w:t>
            </w:r>
            <w:r>
              <w:rPr>
                <w:rFonts w:hint="eastAsia" w:ascii="仿宋" w:hAnsi="仿宋" w:eastAsia="仿宋" w:cs="仿宋"/>
                <w:b/>
                <w:bCs/>
                <w:i w:val="0"/>
                <w:iCs w:val="0"/>
                <w:color w:val="000000"/>
                <w:kern w:val="0"/>
                <w:sz w:val="22"/>
                <w:szCs w:val="22"/>
                <w:u w:val="none"/>
                <w:lang w:val="en-US" w:eastAsia="zh-CN" w:bidi="ar"/>
              </w:rPr>
              <w:br w:type="textWrapping"/>
            </w:r>
            <w:r>
              <w:rPr>
                <w:rFonts w:hint="eastAsia" w:ascii="仿宋" w:hAnsi="仿宋" w:eastAsia="仿宋" w:cs="仿宋"/>
                <w:b/>
                <w:bCs/>
                <w:i w:val="0"/>
                <w:iCs w:val="0"/>
                <w:color w:val="000000"/>
                <w:kern w:val="0"/>
                <w:sz w:val="22"/>
                <w:szCs w:val="22"/>
                <w:u w:val="none"/>
                <w:lang w:val="en-US" w:eastAsia="zh-CN" w:bidi="ar"/>
              </w:rPr>
              <w:t>性质</w:t>
            </w:r>
          </w:p>
        </w:tc>
        <w:tc>
          <w:tcPr>
            <w:tcW w:w="4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序号</w:t>
            </w:r>
          </w:p>
        </w:tc>
        <w:tc>
          <w:tcPr>
            <w:tcW w:w="2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课程名称</w:t>
            </w:r>
          </w:p>
        </w:tc>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总学时</w:t>
            </w:r>
          </w:p>
        </w:tc>
        <w:tc>
          <w:tcPr>
            <w:tcW w:w="295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周课时安排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2" w:hRule="atLeast"/>
          <w:jc w:val="center"/>
        </w:trPr>
        <w:tc>
          <w:tcPr>
            <w:tcW w:w="10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2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第一学期</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第二学期</w:t>
            </w:r>
          </w:p>
        </w:tc>
        <w:tc>
          <w:tcPr>
            <w:tcW w:w="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第三学期</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第四学期</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第五学期</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第六学期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jc w:val="center"/>
        </w:trPr>
        <w:tc>
          <w:tcPr>
            <w:tcW w:w="109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公共基础课程</w:t>
            </w:r>
          </w:p>
        </w:tc>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必修</w:t>
            </w:r>
          </w:p>
        </w:tc>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数学</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354</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jc w:val="center"/>
        </w:trPr>
        <w:tc>
          <w:tcPr>
            <w:tcW w:w="10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语文</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354</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jc w:val="center"/>
        </w:trPr>
        <w:tc>
          <w:tcPr>
            <w:tcW w:w="10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英语</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262</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jc w:val="center"/>
        </w:trPr>
        <w:tc>
          <w:tcPr>
            <w:tcW w:w="10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信息技术</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144</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jc w:val="center"/>
        </w:trPr>
        <w:tc>
          <w:tcPr>
            <w:tcW w:w="10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中国特色社会主义</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36</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jc w:val="center"/>
        </w:trPr>
        <w:tc>
          <w:tcPr>
            <w:tcW w:w="10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心理健康与职业生涯</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36</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jc w:val="center"/>
        </w:trPr>
        <w:tc>
          <w:tcPr>
            <w:tcW w:w="10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哲学与人生</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36</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jc w:val="center"/>
        </w:trPr>
        <w:tc>
          <w:tcPr>
            <w:tcW w:w="10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职业道德与法治</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36</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jc w:val="center"/>
        </w:trPr>
        <w:tc>
          <w:tcPr>
            <w:tcW w:w="10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政治</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92</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7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49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jc w:val="center"/>
        </w:trPr>
        <w:tc>
          <w:tcPr>
            <w:tcW w:w="10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体育与健康</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190</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jc w:val="center"/>
        </w:trPr>
        <w:tc>
          <w:tcPr>
            <w:tcW w:w="10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历史</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36</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jc w:val="center"/>
        </w:trPr>
        <w:tc>
          <w:tcPr>
            <w:tcW w:w="10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音乐欣赏</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jc w:val="center"/>
        </w:trPr>
        <w:tc>
          <w:tcPr>
            <w:tcW w:w="10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礼乐修身</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jc w:val="center"/>
        </w:trPr>
        <w:tc>
          <w:tcPr>
            <w:tcW w:w="10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美术欣赏</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jc w:val="center"/>
        </w:trPr>
        <w:tc>
          <w:tcPr>
            <w:tcW w:w="10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书法</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jc w:val="center"/>
        </w:trPr>
        <w:tc>
          <w:tcPr>
            <w:tcW w:w="10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520" w:type="dxa"/>
            <w:gridSpan w:val="3"/>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公共基础课程小计</w:t>
            </w:r>
          </w:p>
        </w:tc>
        <w:tc>
          <w:tcPr>
            <w:tcW w:w="656"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1648</w:t>
            </w:r>
          </w:p>
        </w:tc>
        <w:tc>
          <w:tcPr>
            <w:tcW w:w="535"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17</w:t>
            </w:r>
          </w:p>
        </w:tc>
        <w:tc>
          <w:tcPr>
            <w:tcW w:w="535"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17</w:t>
            </w:r>
          </w:p>
        </w:tc>
        <w:tc>
          <w:tcPr>
            <w:tcW w:w="453"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w:t>
            </w:r>
          </w:p>
        </w:tc>
        <w:tc>
          <w:tcPr>
            <w:tcW w:w="468"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w:t>
            </w:r>
          </w:p>
        </w:tc>
        <w:tc>
          <w:tcPr>
            <w:tcW w:w="475"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492"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jc w:val="center"/>
        </w:trPr>
        <w:tc>
          <w:tcPr>
            <w:tcW w:w="6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专业(</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技能)</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课程</w:t>
            </w:r>
          </w:p>
        </w:tc>
        <w:tc>
          <w:tcPr>
            <w:tcW w:w="487"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专业理论课</w:t>
            </w:r>
          </w:p>
        </w:tc>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必修</w:t>
            </w:r>
          </w:p>
        </w:tc>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会计基础</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200</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8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企业财务会计</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108</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8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税收基础</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108</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8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w w:val="90"/>
                <w:sz w:val="22"/>
                <w:szCs w:val="22"/>
                <w:u w:val="none"/>
              </w:rPr>
            </w:pPr>
            <w:r>
              <w:rPr>
                <w:rFonts w:hint="eastAsia" w:ascii="仿宋" w:hAnsi="仿宋" w:eastAsia="仿宋" w:cs="仿宋"/>
                <w:i w:val="0"/>
                <w:iCs w:val="0"/>
                <w:color w:val="000000"/>
                <w:w w:val="90"/>
                <w:kern w:val="0"/>
                <w:sz w:val="22"/>
                <w:szCs w:val="22"/>
                <w:u w:val="none"/>
                <w:lang w:val="en-US" w:eastAsia="zh-CN" w:bidi="ar"/>
              </w:rPr>
              <w:t>财经法规与会计职业道德</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154</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8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电子票据技术应用</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87"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专业实训课</w:t>
            </w:r>
          </w:p>
        </w:tc>
        <w:tc>
          <w:tcPr>
            <w:tcW w:w="656" w:type="dxa"/>
            <w:vMerge w:val="restart"/>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必修</w:t>
            </w:r>
          </w:p>
        </w:tc>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财经技能</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36</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8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56"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出纳与资金管理</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36</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8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56"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企业财务会计实训</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72</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8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56"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会计信息化</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108</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8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56"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税费计算与智能申报</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72</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8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56"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财务数据分析</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72</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8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56"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业财税综合实训</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72</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8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56"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财务共享服务/财务数字化应用</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144</w:t>
            </w:r>
          </w:p>
        </w:tc>
        <w:tc>
          <w:tcPr>
            <w:tcW w:w="535" w:type="dxa"/>
            <w:tcBorders>
              <w:top w:val="single" w:color="000000" w:sz="4" w:space="0"/>
              <w:left w:val="single" w:color="000000" w:sz="4" w:space="0"/>
              <w:bottom w:val="nil"/>
              <w:right w:val="single" w:color="000000" w:sz="4" w:space="0"/>
            </w:tcBorders>
            <w:shd w:val="clear" w:color="auto" w:fill="auto"/>
            <w:vAlign w:val="center"/>
          </w:tcPr>
          <w:p>
            <w:pPr>
              <w:rPr>
                <w:rFonts w:hint="eastAsia" w:ascii="仿宋" w:hAnsi="仿宋" w:eastAsia="仿宋" w:cs="仿宋"/>
                <w:i w:val="0"/>
                <w:iCs w:val="0"/>
                <w:color w:val="000000"/>
                <w:sz w:val="22"/>
                <w:szCs w:val="22"/>
                <w:u w:val="none"/>
              </w:rPr>
            </w:pPr>
          </w:p>
        </w:tc>
        <w:tc>
          <w:tcPr>
            <w:tcW w:w="535" w:type="dxa"/>
            <w:tcBorders>
              <w:top w:val="single" w:color="000000" w:sz="4" w:space="0"/>
              <w:left w:val="single" w:color="000000" w:sz="4" w:space="0"/>
              <w:bottom w:val="nil"/>
              <w:right w:val="single" w:color="000000" w:sz="4" w:space="0"/>
            </w:tcBorders>
            <w:shd w:val="clear" w:color="auto" w:fill="auto"/>
            <w:vAlign w:val="center"/>
          </w:tcPr>
          <w:p>
            <w:pPr>
              <w:rPr>
                <w:rFonts w:hint="eastAsia" w:ascii="仿宋" w:hAnsi="仿宋" w:eastAsia="仿宋" w:cs="仿宋"/>
                <w:i w:val="0"/>
                <w:iCs w:val="0"/>
                <w:color w:val="000000"/>
                <w:sz w:val="22"/>
                <w:szCs w:val="22"/>
                <w:u w:val="none"/>
              </w:rPr>
            </w:pPr>
          </w:p>
        </w:tc>
        <w:tc>
          <w:tcPr>
            <w:tcW w:w="453" w:type="dxa"/>
            <w:tcBorders>
              <w:top w:val="single" w:color="000000" w:sz="4" w:space="0"/>
              <w:left w:val="single" w:color="000000" w:sz="4" w:space="0"/>
              <w:bottom w:val="nil"/>
              <w:right w:val="single" w:color="000000" w:sz="4" w:space="0"/>
            </w:tcBorders>
            <w:shd w:val="clear" w:color="auto" w:fill="auto"/>
            <w:vAlign w:val="center"/>
          </w:tcPr>
          <w:p>
            <w:pPr>
              <w:rPr>
                <w:rFonts w:hint="eastAsia" w:ascii="仿宋" w:hAnsi="仿宋" w:eastAsia="仿宋" w:cs="仿宋"/>
                <w:i w:val="0"/>
                <w:iCs w:val="0"/>
                <w:color w:val="000000"/>
                <w:sz w:val="22"/>
                <w:szCs w:val="22"/>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w:t>
            </w:r>
          </w:p>
        </w:tc>
        <w:tc>
          <w:tcPr>
            <w:tcW w:w="475" w:type="dxa"/>
            <w:tcBorders>
              <w:top w:val="single" w:color="000000" w:sz="4" w:space="0"/>
              <w:left w:val="single" w:color="000000" w:sz="4" w:space="0"/>
              <w:bottom w:val="nil"/>
              <w:right w:val="single" w:color="000000" w:sz="4" w:space="0"/>
            </w:tcBorders>
            <w:shd w:val="clear" w:color="auto" w:fill="auto"/>
            <w:vAlign w:val="center"/>
          </w:tcPr>
          <w:p>
            <w:pPr>
              <w:rPr>
                <w:rFonts w:hint="eastAsia" w:ascii="仿宋" w:hAnsi="仿宋" w:eastAsia="仿宋" w:cs="仿宋"/>
                <w:i w:val="0"/>
                <w:iCs w:val="0"/>
                <w:color w:val="000000"/>
                <w:sz w:val="22"/>
                <w:szCs w:val="22"/>
                <w:u w:val="none"/>
              </w:rPr>
            </w:pPr>
          </w:p>
        </w:tc>
        <w:tc>
          <w:tcPr>
            <w:tcW w:w="492" w:type="dxa"/>
            <w:tcBorders>
              <w:top w:val="single" w:color="000000" w:sz="4" w:space="0"/>
              <w:left w:val="single" w:color="000000" w:sz="4" w:space="0"/>
              <w:bottom w:val="nil"/>
              <w:right w:val="single" w:color="000000" w:sz="4" w:space="0"/>
            </w:tcBorders>
            <w:shd w:val="clear" w:color="auto" w:fill="auto"/>
            <w:vAlign w:val="center"/>
          </w:tcPr>
          <w:p>
            <w:pP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6"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8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56"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w w:val="90"/>
                <w:sz w:val="22"/>
                <w:szCs w:val="22"/>
                <w:u w:val="none"/>
              </w:rPr>
            </w:pPr>
            <w:r>
              <w:rPr>
                <w:rFonts w:hint="eastAsia" w:ascii="仿宋" w:hAnsi="仿宋" w:eastAsia="仿宋" w:cs="仿宋"/>
                <w:i w:val="0"/>
                <w:iCs w:val="0"/>
                <w:color w:val="000000"/>
                <w:w w:val="90"/>
                <w:kern w:val="0"/>
                <w:sz w:val="22"/>
                <w:szCs w:val="22"/>
                <w:u w:val="none"/>
                <w:lang w:val="en-US" w:eastAsia="zh-CN" w:bidi="ar"/>
              </w:rPr>
              <w:t>财务机器人智能核算应用</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007" w:type="dxa"/>
            <w:gridSpan w:val="4"/>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专业(技能)课程小计</w:t>
            </w:r>
          </w:p>
        </w:tc>
        <w:tc>
          <w:tcPr>
            <w:tcW w:w="656" w:type="dxa"/>
            <w:tcBorders>
              <w:top w:val="nil"/>
              <w:left w:val="single" w:color="000000" w:sz="4" w:space="0"/>
              <w:bottom w:val="single" w:color="000000" w:sz="4" w:space="0"/>
              <w:right w:val="single" w:color="000000" w:sz="4" w:space="0"/>
            </w:tcBorders>
            <w:shd w:val="clear" w:color="auto" w:fill="92D05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1200</w:t>
            </w:r>
          </w:p>
        </w:tc>
        <w:tc>
          <w:tcPr>
            <w:tcW w:w="535" w:type="dxa"/>
            <w:tcBorders>
              <w:top w:val="nil"/>
              <w:left w:val="single" w:color="000000" w:sz="4" w:space="0"/>
              <w:bottom w:val="single" w:color="000000" w:sz="4" w:space="0"/>
              <w:right w:val="single" w:color="000000" w:sz="4" w:space="0"/>
            </w:tcBorders>
            <w:shd w:val="clear" w:color="auto" w:fill="92D05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w:t>
            </w:r>
          </w:p>
        </w:tc>
        <w:tc>
          <w:tcPr>
            <w:tcW w:w="535" w:type="dxa"/>
            <w:tcBorders>
              <w:top w:val="nil"/>
              <w:left w:val="single" w:color="000000" w:sz="4" w:space="0"/>
              <w:bottom w:val="single" w:color="000000" w:sz="4" w:space="0"/>
              <w:right w:val="single" w:color="000000" w:sz="4" w:space="0"/>
            </w:tcBorders>
            <w:shd w:val="clear" w:color="auto" w:fill="92D05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453" w:type="dxa"/>
            <w:tcBorders>
              <w:top w:val="nil"/>
              <w:left w:val="single" w:color="000000" w:sz="4" w:space="0"/>
              <w:bottom w:val="single" w:color="000000" w:sz="4" w:space="0"/>
              <w:right w:val="single" w:color="000000" w:sz="4" w:space="0"/>
            </w:tcBorders>
            <w:shd w:val="clear" w:color="auto" w:fill="92D05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468" w:type="dxa"/>
            <w:tcBorders>
              <w:top w:val="nil"/>
              <w:left w:val="single" w:color="000000" w:sz="4" w:space="0"/>
              <w:bottom w:val="single" w:color="000000" w:sz="4" w:space="0"/>
              <w:right w:val="single" w:color="000000" w:sz="4" w:space="0"/>
            </w:tcBorders>
            <w:shd w:val="clear" w:color="auto" w:fill="92D05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w:t>
            </w:r>
          </w:p>
        </w:tc>
        <w:tc>
          <w:tcPr>
            <w:tcW w:w="475" w:type="dxa"/>
            <w:tcBorders>
              <w:top w:val="nil"/>
              <w:left w:val="single" w:color="000000" w:sz="4" w:space="0"/>
              <w:bottom w:val="single" w:color="000000" w:sz="4" w:space="0"/>
              <w:right w:val="single" w:color="000000" w:sz="4" w:space="0"/>
            </w:tcBorders>
            <w:shd w:val="clear" w:color="auto" w:fill="92D05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492" w:type="dxa"/>
            <w:tcBorders>
              <w:top w:val="nil"/>
              <w:left w:val="single" w:color="000000" w:sz="4" w:space="0"/>
              <w:bottom w:val="single" w:color="000000" w:sz="4" w:space="0"/>
              <w:right w:val="single" w:color="000000" w:sz="4" w:space="0"/>
            </w:tcBorders>
            <w:shd w:val="clear" w:color="auto" w:fill="92D05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jc w:val="center"/>
        </w:trPr>
        <w:tc>
          <w:tcPr>
            <w:tcW w:w="1096"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综合素养课程</w:t>
            </w:r>
          </w:p>
        </w:tc>
        <w:tc>
          <w:tcPr>
            <w:tcW w:w="656"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必修</w:t>
            </w:r>
          </w:p>
        </w:tc>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财经职业素养</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18</w:t>
            </w:r>
          </w:p>
        </w:tc>
        <w:tc>
          <w:tcPr>
            <w:tcW w:w="5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53"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75"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jc w:val="center"/>
        </w:trPr>
        <w:tc>
          <w:tcPr>
            <w:tcW w:w="1096"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5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职业能力</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92</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jc w:val="center"/>
        </w:trPr>
        <w:tc>
          <w:tcPr>
            <w:tcW w:w="1096"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5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入学教育与军训</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jc w:val="center"/>
        </w:trPr>
        <w:tc>
          <w:tcPr>
            <w:tcW w:w="1096"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5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人际关系与沟通技巧</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讲座</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6" w:hRule="atLeast"/>
          <w:jc w:val="center"/>
        </w:trPr>
        <w:tc>
          <w:tcPr>
            <w:tcW w:w="1096"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5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创新创业教育</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讲座</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6" w:hRule="atLeast"/>
          <w:jc w:val="center"/>
        </w:trPr>
        <w:tc>
          <w:tcPr>
            <w:tcW w:w="1096"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5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3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242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就业指导</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讲座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jc w:val="center"/>
        </w:trPr>
        <w:tc>
          <w:tcPr>
            <w:tcW w:w="46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岗位实习</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val="en-US" w:eastAsia="zh-CN"/>
              </w:rPr>
              <w:t>540</w:t>
            </w: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5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jc w:val="center"/>
        </w:trPr>
        <w:tc>
          <w:tcPr>
            <w:tcW w:w="4616" w:type="dxa"/>
            <w:gridSpan w:val="5"/>
            <w:tcBorders>
              <w:top w:val="nil"/>
              <w:left w:val="single" w:color="000000" w:sz="4" w:space="0"/>
              <w:bottom w:val="single" w:color="000000" w:sz="4" w:space="0"/>
              <w:right w:val="single" w:color="000000" w:sz="4" w:space="0"/>
            </w:tcBorders>
            <w:shd w:val="clear" w:color="auto" w:fill="92D05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周课时合计</w:t>
            </w:r>
          </w:p>
        </w:tc>
        <w:tc>
          <w:tcPr>
            <w:tcW w:w="656"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3498</w:t>
            </w:r>
          </w:p>
        </w:tc>
        <w:tc>
          <w:tcPr>
            <w:tcW w:w="535"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31</w:t>
            </w:r>
          </w:p>
        </w:tc>
        <w:tc>
          <w:tcPr>
            <w:tcW w:w="535" w:type="dxa"/>
            <w:tcBorders>
              <w:top w:val="single" w:color="000000" w:sz="4" w:space="0"/>
              <w:left w:val="single" w:color="000000" w:sz="4" w:space="0"/>
              <w:bottom w:val="single" w:color="auto" w:sz="4" w:space="0"/>
              <w:right w:val="single" w:color="000000" w:sz="4" w:space="0"/>
            </w:tcBorders>
            <w:shd w:val="clear" w:color="auto" w:fill="92D05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32</w:t>
            </w:r>
          </w:p>
        </w:tc>
        <w:tc>
          <w:tcPr>
            <w:tcW w:w="453"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31</w:t>
            </w:r>
          </w:p>
        </w:tc>
        <w:tc>
          <w:tcPr>
            <w:tcW w:w="468"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32</w:t>
            </w:r>
          </w:p>
        </w:tc>
        <w:tc>
          <w:tcPr>
            <w:tcW w:w="475"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492"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jc w:val="center"/>
        </w:trPr>
        <w:tc>
          <w:tcPr>
            <w:tcW w:w="109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专业拓展课程</w:t>
            </w:r>
          </w:p>
        </w:tc>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选修</w:t>
            </w:r>
          </w:p>
        </w:tc>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ERP沙盘认知</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3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jc w:val="center"/>
        </w:trPr>
        <w:tc>
          <w:tcPr>
            <w:tcW w:w="10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w w:val="90"/>
                <w:sz w:val="22"/>
                <w:szCs w:val="22"/>
                <w:u w:val="none"/>
              </w:rPr>
            </w:pPr>
            <w:r>
              <w:rPr>
                <w:rFonts w:hint="eastAsia" w:ascii="仿宋" w:hAnsi="仿宋" w:eastAsia="仿宋" w:cs="仿宋"/>
                <w:i w:val="0"/>
                <w:iCs w:val="0"/>
                <w:color w:val="000000"/>
                <w:w w:val="90"/>
                <w:kern w:val="0"/>
                <w:sz w:val="22"/>
                <w:szCs w:val="22"/>
                <w:u w:val="none"/>
                <w:lang w:val="en-US" w:eastAsia="zh-CN" w:bidi="ar"/>
              </w:rPr>
              <w:t>VBSE模拟商业社会安训</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jc w:val="center"/>
        </w:trPr>
        <w:tc>
          <w:tcPr>
            <w:tcW w:w="0" w:type="auto"/>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资格认证</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必修</w:t>
            </w:r>
          </w:p>
        </w:tc>
        <w:tc>
          <w:tcPr>
            <w:tcW w:w="43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w w:val="80"/>
                <w:sz w:val="22"/>
                <w:szCs w:val="22"/>
                <w:u w:val="none"/>
              </w:rPr>
            </w:pPr>
            <w:r>
              <w:rPr>
                <w:rFonts w:hint="eastAsia" w:ascii="仿宋" w:hAnsi="仿宋" w:eastAsia="仿宋" w:cs="仿宋"/>
                <w:i w:val="0"/>
                <w:iCs w:val="0"/>
                <w:color w:val="000000"/>
                <w:w w:val="80"/>
                <w:kern w:val="0"/>
                <w:sz w:val="22"/>
                <w:szCs w:val="22"/>
                <w:u w:val="none"/>
                <w:lang w:val="en-US" w:eastAsia="zh-CN" w:bidi="ar"/>
              </w:rPr>
              <w:t>全国计算机等级考试（一级）</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 w:hAnsi="仿宋" w:eastAsia="仿宋" w:cs="仿宋"/>
                <w:i w:val="0"/>
                <w:iCs w:val="0"/>
                <w:color w:val="000000"/>
                <w:sz w:val="22"/>
                <w:szCs w:val="22"/>
                <w:u w:val="none"/>
              </w:rPr>
            </w:pP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 w:hAnsi="仿宋" w:eastAsia="仿宋" w:cs="仿宋"/>
                <w:i w:val="0"/>
                <w:iCs w:val="0"/>
                <w:color w:val="000000"/>
                <w:sz w:val="22"/>
                <w:szCs w:val="22"/>
                <w:u w:val="none"/>
              </w:rPr>
            </w:pP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5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 w:hAnsi="仿宋" w:eastAsia="仿宋" w:cs="仿宋"/>
                <w:i w:val="0"/>
                <w:iCs w:val="0"/>
                <w:color w:val="000000"/>
                <w:sz w:val="22"/>
                <w:szCs w:val="22"/>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jc w:val="center"/>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普通话</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 w:hAnsi="仿宋" w:eastAsia="仿宋" w:cs="仿宋"/>
                <w:i w:val="0"/>
                <w:iCs w:val="0"/>
                <w:color w:val="000000"/>
                <w:sz w:val="22"/>
                <w:szCs w:val="22"/>
                <w:u w:val="none"/>
              </w:rPr>
            </w:pP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 w:hAnsi="仿宋" w:eastAsia="仿宋" w:cs="仿宋"/>
                <w:i w:val="0"/>
                <w:iCs w:val="0"/>
                <w:color w:val="000000"/>
                <w:sz w:val="22"/>
                <w:szCs w:val="22"/>
                <w:u w:val="none"/>
              </w:rPr>
            </w:pP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 w:hAnsi="仿宋" w:eastAsia="仿宋" w:cs="仿宋"/>
                <w:i w:val="0"/>
                <w:iCs w:val="0"/>
                <w:color w:val="000000"/>
                <w:sz w:val="22"/>
                <w:szCs w:val="22"/>
                <w:u w:val="none"/>
              </w:rPr>
            </w:pPr>
          </w:p>
        </w:tc>
        <w:tc>
          <w:tcPr>
            <w:tcW w:w="45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 w:hAnsi="仿宋" w:eastAsia="仿宋" w:cs="仿宋"/>
                <w:i w:val="0"/>
                <w:iCs w:val="0"/>
                <w:color w:val="000000"/>
                <w:sz w:val="22"/>
                <w:szCs w:val="22"/>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 w:hAnsi="仿宋" w:eastAsia="仿宋" w:cs="仿宋"/>
                <w:i w:val="0"/>
                <w:iCs w:val="0"/>
                <w:color w:val="000000"/>
                <w:sz w:val="22"/>
                <w:szCs w:val="22"/>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jc w:val="center"/>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w w:val="100"/>
                <w:sz w:val="22"/>
                <w:szCs w:val="22"/>
                <w:u w:val="none"/>
              </w:rPr>
            </w:pPr>
            <w:r>
              <w:rPr>
                <w:rFonts w:hint="eastAsia" w:ascii="仿宋" w:hAnsi="仿宋" w:eastAsia="仿宋" w:cs="仿宋"/>
                <w:i w:val="0"/>
                <w:iCs w:val="0"/>
                <w:color w:val="000000"/>
                <w:w w:val="100"/>
                <w:kern w:val="0"/>
                <w:sz w:val="22"/>
                <w:szCs w:val="22"/>
                <w:u w:val="none"/>
                <w:lang w:val="en-US" w:eastAsia="zh-CN" w:bidi="ar"/>
              </w:rPr>
              <w:t>财务共享服务/财务数字化应用（初级）</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 w:hAnsi="仿宋" w:eastAsia="仿宋" w:cs="仿宋"/>
                <w:i w:val="0"/>
                <w:iCs w:val="0"/>
                <w:color w:val="000000"/>
                <w:sz w:val="22"/>
                <w:szCs w:val="22"/>
                <w:u w:val="none"/>
              </w:rPr>
            </w:pP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 w:hAnsi="仿宋" w:eastAsia="仿宋" w:cs="仿宋"/>
                <w:i w:val="0"/>
                <w:iCs w:val="0"/>
                <w:color w:val="000000"/>
                <w:sz w:val="22"/>
                <w:szCs w:val="22"/>
                <w:u w:val="none"/>
              </w:rPr>
            </w:pPr>
          </w:p>
        </w:tc>
        <w:tc>
          <w:tcPr>
            <w:tcW w:w="53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 w:hAnsi="仿宋" w:eastAsia="仿宋" w:cs="仿宋"/>
                <w:i w:val="0"/>
                <w:iCs w:val="0"/>
                <w:color w:val="000000"/>
                <w:sz w:val="22"/>
                <w:szCs w:val="22"/>
                <w:u w:val="none"/>
              </w:rPr>
            </w:pPr>
          </w:p>
        </w:tc>
        <w:tc>
          <w:tcPr>
            <w:tcW w:w="453"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 w:hAnsi="仿宋" w:eastAsia="仿宋" w:cs="仿宋"/>
                <w:i w:val="0"/>
                <w:iCs w:val="0"/>
                <w:color w:val="000000"/>
                <w:sz w:val="22"/>
                <w:szCs w:val="22"/>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 w:hAnsi="仿宋" w:eastAsia="仿宋" w:cs="仿宋"/>
                <w:i w:val="0"/>
                <w:iCs w:val="0"/>
                <w:color w:val="000000"/>
                <w:sz w:val="22"/>
                <w:szCs w:val="22"/>
                <w:u w:val="none"/>
              </w:rPr>
            </w:pPr>
          </w:p>
        </w:tc>
      </w:tr>
    </w:tbl>
    <w:p>
      <w:pPr>
        <w:spacing w:line="560" w:lineRule="exact"/>
        <w:ind w:firstLine="640" w:firstLineChars="200"/>
        <w:jc w:val="left"/>
        <w:outlineLvl w:val="0"/>
        <w:rPr>
          <w:rFonts w:hint="eastAsia" w:ascii="黑体" w:hAnsi="黑体" w:eastAsia="黑体" w:cs="黑体"/>
          <w:color w:val="000000" w:themeColor="text1"/>
          <w:sz w:val="32"/>
          <w:szCs w:val="32"/>
          <w:lang w:val="en-US" w:eastAsia="zh-CN"/>
          <w14:textFill>
            <w14:solidFill>
              <w14:schemeClr w14:val="tx1"/>
            </w14:solidFill>
          </w14:textFill>
        </w:rPr>
      </w:pPr>
      <w:bookmarkStart w:id="55" w:name="_Toc1396"/>
      <w:bookmarkStart w:id="56" w:name="_Toc23920"/>
    </w:p>
    <w:p>
      <w:pPr>
        <w:spacing w:line="560" w:lineRule="exact"/>
        <w:ind w:firstLine="640" w:firstLineChars="200"/>
        <w:jc w:val="left"/>
        <w:outlineLvl w:val="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十</w:t>
      </w:r>
      <w:r>
        <w:rPr>
          <w:rFonts w:hint="eastAsia" w:ascii="黑体" w:hAnsi="黑体" w:eastAsia="黑体" w:cs="黑体"/>
          <w:color w:val="000000" w:themeColor="text1"/>
          <w:sz w:val="32"/>
          <w:szCs w:val="32"/>
          <w14:textFill>
            <w14:solidFill>
              <w14:schemeClr w14:val="tx1"/>
            </w14:solidFill>
          </w14:textFill>
        </w:rPr>
        <w:t>、实施保障</w:t>
      </w:r>
      <w:bookmarkEnd w:id="55"/>
      <w:bookmarkEnd w:id="56"/>
    </w:p>
    <w:p>
      <w:pPr>
        <w:spacing w:line="560" w:lineRule="exact"/>
        <w:ind w:firstLine="643" w:firstLineChars="200"/>
        <w:jc w:val="left"/>
        <w:outlineLvl w:val="1"/>
        <w:rPr>
          <w:rFonts w:hint="eastAsia" w:ascii="楷体" w:hAnsi="楷体" w:eastAsia="楷体" w:cs="楷体"/>
          <w:b/>
          <w:bCs/>
          <w:color w:val="000000" w:themeColor="text1"/>
          <w:sz w:val="32"/>
          <w:szCs w:val="32"/>
          <w14:textFill>
            <w14:solidFill>
              <w14:schemeClr w14:val="tx1"/>
            </w14:solidFill>
          </w14:textFill>
        </w:rPr>
      </w:pPr>
      <w:bookmarkStart w:id="57" w:name="_Toc21958"/>
      <w:bookmarkStart w:id="58" w:name="_Toc24110"/>
      <w:r>
        <w:rPr>
          <w:rFonts w:hint="eastAsia" w:ascii="楷体" w:hAnsi="楷体" w:eastAsia="楷体" w:cs="楷体"/>
          <w:b/>
          <w:bCs/>
          <w:color w:val="000000" w:themeColor="text1"/>
          <w:sz w:val="32"/>
          <w:szCs w:val="32"/>
          <w14:textFill>
            <w14:solidFill>
              <w14:schemeClr w14:val="tx1"/>
            </w14:solidFill>
          </w14:textFill>
        </w:rPr>
        <w:t>（一）师资队伍</w:t>
      </w:r>
      <w:bookmarkEnd w:id="57"/>
      <w:bookmarkEnd w:id="58"/>
    </w:p>
    <w:p>
      <w:pPr>
        <w:spacing w:line="560" w:lineRule="exact"/>
        <w:ind w:firstLine="570"/>
        <w:jc w:val="left"/>
        <w:rPr>
          <w:rFonts w:hint="eastAsia" w:ascii="仿宋" w:hAnsi="仿宋" w:eastAsia="仿宋" w:cs="仿宋"/>
          <w:b/>
          <w:bCs w:val="0"/>
          <w:color w:val="000000" w:themeColor="text1"/>
          <w:sz w:val="32"/>
          <w:szCs w:val="32"/>
          <w:lang w:val="en-US" w:eastAsia="zh-CN"/>
          <w14:textFill>
            <w14:solidFill>
              <w14:schemeClr w14:val="tx1"/>
            </w14:solidFill>
          </w14:textFill>
        </w:rPr>
      </w:pPr>
      <w:r>
        <w:rPr>
          <w:rFonts w:hint="eastAsia" w:ascii="仿宋" w:hAnsi="仿宋" w:eastAsia="仿宋" w:cs="仿宋"/>
          <w:bCs/>
          <w:color w:val="000000" w:themeColor="text1"/>
          <w:sz w:val="32"/>
          <w:szCs w:val="32"/>
          <w:lang w:val="en-US" w:eastAsia="zh-CN"/>
          <w14:textFill>
            <w14:solidFill>
              <w14:schemeClr w14:val="tx1"/>
            </w14:solidFill>
          </w14:textFill>
        </w:rPr>
        <w:t>师资队伍</w:t>
      </w:r>
      <w:r>
        <w:rPr>
          <w:rFonts w:hint="eastAsia" w:ascii="仿宋" w:hAnsi="仿宋" w:eastAsia="仿宋" w:cs="仿宋"/>
          <w:bCs/>
          <w:color w:val="000000" w:themeColor="text1"/>
          <w:sz w:val="32"/>
          <w:szCs w:val="32"/>
          <w14:textFill>
            <w14:solidFill>
              <w14:schemeClr w14:val="tx1"/>
            </w14:solidFill>
          </w14:textFill>
        </w:rPr>
        <w:t>是人才培养方案得以顺利实施的关键。工作过程系统化课程体系的实施需要建立由专业带头人、骨干教师、“双师型”教师、企业技术专家组成的专兼结合教学团队。通过各种形式的培训、业务比赛等措施，建设符合项目式、模块化教学需要的教学创新团队，不断优化教师能力结构，提升教师专业技能水平和教研水平，全面提升教师信息技术应用能力，推动大数据、人工智能、虚拟现实等现代信息技术在教育教学中的广泛应用。积极推动教师角色的转变和教育理念、教学内容、教学方法以及教学评价等方面的改革。</w:t>
      </w:r>
    </w:p>
    <w:p>
      <w:pPr>
        <w:spacing w:line="560" w:lineRule="exact"/>
        <w:ind w:firstLine="570"/>
        <w:jc w:val="left"/>
        <w:outlineLvl w:val="2"/>
        <w:rPr>
          <w:rFonts w:hint="eastAsia" w:ascii="仿宋" w:hAnsi="仿宋" w:eastAsia="仿宋" w:cs="仿宋"/>
          <w:b/>
          <w:bCs w:val="0"/>
          <w:color w:val="000000" w:themeColor="text1"/>
          <w:sz w:val="32"/>
          <w:szCs w:val="32"/>
          <w:lang w:val="en-US" w:eastAsia="zh-CN"/>
          <w14:textFill>
            <w14:solidFill>
              <w14:schemeClr w14:val="tx1"/>
            </w14:solidFill>
          </w14:textFill>
        </w:rPr>
      </w:pPr>
      <w:bookmarkStart w:id="59" w:name="_Toc32083"/>
      <w:bookmarkStart w:id="60" w:name="_Toc11008"/>
      <w:r>
        <w:rPr>
          <w:rFonts w:hint="eastAsia" w:ascii="仿宋" w:hAnsi="仿宋" w:eastAsia="仿宋" w:cs="仿宋"/>
          <w:b/>
          <w:bCs w:val="0"/>
          <w:color w:val="000000" w:themeColor="text1"/>
          <w:sz w:val="32"/>
          <w:szCs w:val="32"/>
          <w:lang w:val="en-US" w:eastAsia="zh-CN"/>
          <w14:textFill>
            <w14:solidFill>
              <w14:schemeClr w14:val="tx1"/>
            </w14:solidFill>
          </w14:textFill>
        </w:rPr>
        <w:t>1.队伍结构</w:t>
      </w:r>
      <w:bookmarkEnd w:id="59"/>
      <w:bookmarkEnd w:id="60"/>
    </w:p>
    <w:p>
      <w:pPr>
        <w:spacing w:line="560" w:lineRule="exact"/>
        <w:ind w:firstLine="570"/>
        <w:jc w:val="left"/>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本专业专任教师数与学生数之比不低于1</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14:textFill>
            <w14:solidFill>
              <w14:schemeClr w14:val="tx1"/>
            </w14:solidFill>
          </w14:textFill>
        </w:rPr>
        <w:t>25，</w:t>
      </w:r>
      <w:r>
        <w:rPr>
          <w:rFonts w:hint="eastAsia" w:ascii="仿宋" w:hAnsi="仿宋" w:eastAsia="仿宋" w:cs="仿宋"/>
          <w:bCs/>
          <w:color w:val="000000" w:themeColor="text1"/>
          <w:sz w:val="32"/>
          <w:szCs w:val="32"/>
          <w:lang w:val="en-US" w:eastAsia="zh-CN"/>
          <w14:textFill>
            <w14:solidFill>
              <w14:schemeClr w14:val="tx1"/>
            </w14:solidFill>
          </w14:textFill>
        </w:rPr>
        <w:t>专业课教师中</w:t>
      </w:r>
      <w:r>
        <w:rPr>
          <w:rFonts w:hint="eastAsia" w:ascii="仿宋" w:hAnsi="仿宋" w:eastAsia="仿宋" w:cs="仿宋"/>
          <w:bCs/>
          <w:color w:val="000000" w:themeColor="text1"/>
          <w:sz w:val="32"/>
          <w:szCs w:val="32"/>
          <w14:textFill>
            <w14:solidFill>
              <w14:schemeClr w14:val="tx1"/>
            </w14:solidFill>
          </w14:textFill>
        </w:rPr>
        <w:t>双师素质教师比例</w:t>
      </w:r>
      <w:r>
        <w:rPr>
          <w:rFonts w:hint="eastAsia" w:ascii="仿宋" w:hAnsi="仿宋" w:eastAsia="仿宋" w:cs="仿宋"/>
          <w:bCs/>
          <w:color w:val="000000" w:themeColor="text1"/>
          <w:sz w:val="32"/>
          <w:szCs w:val="32"/>
          <w:lang w:val="en-US" w:eastAsia="zh-CN"/>
          <w14:textFill>
            <w14:solidFill>
              <w14:schemeClr w14:val="tx1"/>
            </w14:solidFill>
          </w14:textFill>
        </w:rPr>
        <w:t>达到89</w:t>
      </w:r>
      <w:r>
        <w:rPr>
          <w:rFonts w:hint="eastAsia" w:ascii="仿宋" w:hAnsi="仿宋" w:eastAsia="仿宋" w:cs="仿宋"/>
          <w:bCs/>
          <w:color w:val="000000" w:themeColor="text1"/>
          <w:sz w:val="32"/>
          <w:szCs w:val="32"/>
          <w14:textFill>
            <w14:solidFill>
              <w14:schemeClr w14:val="tx1"/>
            </w14:solidFill>
          </w14:textFill>
        </w:rPr>
        <w:t>% 。</w:t>
      </w:r>
    </w:p>
    <w:p>
      <w:pPr>
        <w:spacing w:line="560" w:lineRule="exact"/>
        <w:ind w:firstLine="570"/>
        <w:jc w:val="left"/>
        <w:outlineLvl w:val="2"/>
        <w:rPr>
          <w:rFonts w:hint="eastAsia" w:ascii="仿宋" w:hAnsi="仿宋" w:eastAsia="仿宋" w:cs="仿宋"/>
          <w:b/>
          <w:bCs w:val="0"/>
          <w:color w:val="000000" w:themeColor="text1"/>
          <w:sz w:val="32"/>
          <w:szCs w:val="32"/>
          <w:lang w:val="en-US" w:eastAsia="zh-CN"/>
          <w14:textFill>
            <w14:solidFill>
              <w14:schemeClr w14:val="tx1"/>
            </w14:solidFill>
          </w14:textFill>
        </w:rPr>
      </w:pPr>
      <w:bookmarkStart w:id="61" w:name="_Toc6555"/>
      <w:bookmarkStart w:id="62" w:name="_Toc24402"/>
      <w:r>
        <w:rPr>
          <w:rFonts w:hint="eastAsia" w:ascii="仿宋" w:hAnsi="仿宋" w:eastAsia="仿宋" w:cs="仿宋"/>
          <w:b/>
          <w:bCs w:val="0"/>
          <w:color w:val="000000" w:themeColor="text1"/>
          <w:sz w:val="32"/>
          <w:szCs w:val="32"/>
          <w:lang w:val="en-US" w:eastAsia="zh-CN"/>
          <w14:textFill>
            <w14:solidFill>
              <w14:schemeClr w14:val="tx1"/>
            </w14:solidFill>
          </w14:textFill>
        </w:rPr>
        <w:t>2.专任教师</w:t>
      </w:r>
      <w:bookmarkEnd w:id="61"/>
      <w:bookmarkEnd w:id="62"/>
    </w:p>
    <w:p>
      <w:pPr>
        <w:spacing w:line="560" w:lineRule="exact"/>
        <w:ind w:firstLine="570"/>
        <w:jc w:val="left"/>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专任教师应具有中等职业学校教师资格证书</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14:textFill>
            <w14:solidFill>
              <w14:schemeClr w14:val="tx1"/>
            </w14:solidFill>
          </w14:textFill>
        </w:rPr>
        <w:t>有理想信念、有道德情操、有扎实学识、有仁爱之心</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14:textFill>
            <w14:solidFill>
              <w14:schemeClr w14:val="tx1"/>
            </w14:solidFill>
          </w14:textFill>
        </w:rPr>
        <w:t>具有本科及以上学历</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14:textFill>
            <w14:solidFill>
              <w14:schemeClr w14:val="tx1"/>
            </w14:solidFill>
          </w14:textFill>
        </w:rPr>
        <w:t>具有扎实的本专业相关理论功底和实践能力</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14:textFill>
            <w14:solidFill>
              <w14:schemeClr w14:val="tx1"/>
            </w14:solidFill>
          </w14:textFill>
        </w:rPr>
        <w:t>具有较强</w:t>
      </w:r>
      <w:r>
        <w:rPr>
          <w:rFonts w:hint="eastAsia" w:ascii="仿宋" w:hAnsi="仿宋" w:eastAsia="仿宋" w:cs="仿宋"/>
          <w:bCs/>
          <w:color w:val="000000" w:themeColor="text1"/>
          <w:sz w:val="32"/>
          <w:szCs w:val="32"/>
          <w:lang w:eastAsia="zh-CN"/>
          <w14:textFill>
            <w14:solidFill>
              <w14:schemeClr w14:val="tx1"/>
            </w14:solidFill>
          </w14:textFill>
        </w:rPr>
        <w:t>的</w:t>
      </w:r>
      <w:r>
        <w:rPr>
          <w:rFonts w:hint="eastAsia" w:ascii="仿宋" w:hAnsi="仿宋" w:eastAsia="仿宋" w:cs="仿宋"/>
          <w:bCs/>
          <w:color w:val="000000" w:themeColor="text1"/>
          <w:sz w:val="32"/>
          <w:szCs w:val="32"/>
          <w14:textFill>
            <w14:solidFill>
              <w14:schemeClr w14:val="tx1"/>
            </w14:solidFill>
          </w14:textFill>
        </w:rPr>
        <w:t>信息化教学能力，能够开展课程教学改革和科学研究</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14:textFill>
            <w14:solidFill>
              <w14:schemeClr w14:val="tx1"/>
            </w14:solidFill>
          </w14:textFill>
        </w:rPr>
        <w:t>有每5年累计不少于6个月的企业实践经历。</w:t>
      </w:r>
    </w:p>
    <w:p>
      <w:pPr>
        <w:spacing w:line="560" w:lineRule="exact"/>
        <w:ind w:firstLine="570"/>
        <w:jc w:val="left"/>
        <w:outlineLvl w:val="2"/>
        <w:rPr>
          <w:rFonts w:hint="eastAsia" w:ascii="仿宋" w:hAnsi="仿宋" w:eastAsia="仿宋" w:cs="仿宋"/>
          <w:b/>
          <w:bCs w:val="0"/>
          <w:color w:val="000000" w:themeColor="text1"/>
          <w:sz w:val="32"/>
          <w:szCs w:val="32"/>
          <w:lang w:val="en-US" w:eastAsia="zh-CN"/>
          <w14:textFill>
            <w14:solidFill>
              <w14:schemeClr w14:val="tx1"/>
            </w14:solidFill>
          </w14:textFill>
        </w:rPr>
      </w:pPr>
      <w:bookmarkStart w:id="63" w:name="_Toc18442"/>
      <w:bookmarkStart w:id="64" w:name="_Toc2254"/>
      <w:r>
        <w:rPr>
          <w:rFonts w:hint="eastAsia" w:ascii="仿宋" w:hAnsi="仿宋" w:eastAsia="仿宋" w:cs="仿宋"/>
          <w:b/>
          <w:bCs w:val="0"/>
          <w:color w:val="000000" w:themeColor="text1"/>
          <w:sz w:val="32"/>
          <w:szCs w:val="32"/>
          <w:lang w:val="en-US" w:eastAsia="zh-CN"/>
          <w14:textFill>
            <w14:solidFill>
              <w14:schemeClr w14:val="tx1"/>
            </w14:solidFill>
          </w14:textFill>
        </w:rPr>
        <w:t>3.专业带头人</w:t>
      </w:r>
      <w:bookmarkEnd w:id="63"/>
      <w:bookmarkEnd w:id="64"/>
    </w:p>
    <w:p>
      <w:pPr>
        <w:spacing w:line="560" w:lineRule="exact"/>
        <w:ind w:firstLine="570"/>
        <w:jc w:val="left"/>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专业带头人原则上应具有副高级以上职称，能够较好地把握</w:t>
      </w:r>
      <w:r>
        <w:rPr>
          <w:rFonts w:hint="eastAsia" w:ascii="仿宋" w:hAnsi="仿宋" w:eastAsia="仿宋" w:cs="仿宋"/>
          <w:bCs/>
          <w:color w:val="000000" w:themeColor="text1"/>
          <w:sz w:val="32"/>
          <w:szCs w:val="32"/>
          <w:lang w:val="en-US" w:eastAsia="zh-CN"/>
          <w14:textFill>
            <w14:solidFill>
              <w14:schemeClr w14:val="tx1"/>
            </w14:solidFill>
          </w14:textFill>
        </w:rPr>
        <w:t>本专业</w:t>
      </w:r>
      <w:r>
        <w:rPr>
          <w:rFonts w:hint="eastAsia" w:ascii="仿宋" w:hAnsi="仿宋" w:eastAsia="仿宋" w:cs="仿宋"/>
          <w:bCs/>
          <w:color w:val="000000" w:themeColor="text1"/>
          <w:sz w:val="32"/>
          <w:szCs w:val="32"/>
          <w14:textFill>
            <w14:solidFill>
              <w14:schemeClr w14:val="tx1"/>
            </w14:solidFill>
          </w14:textFill>
        </w:rPr>
        <w:t>学科前沿发展动态，能广泛联系行业企业，了解行业企业对本专业人才的需求实际，专业研究能力强</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14:textFill>
            <w14:solidFill>
              <w14:schemeClr w14:val="tx1"/>
            </w14:solidFill>
          </w14:textFill>
        </w:rPr>
        <w:t>组织开展教科研工作能力强，在本领域具有一定的专业影响力。</w:t>
      </w:r>
    </w:p>
    <w:p>
      <w:pPr>
        <w:spacing w:line="560" w:lineRule="exact"/>
        <w:ind w:firstLine="570"/>
        <w:jc w:val="left"/>
        <w:outlineLvl w:val="2"/>
        <w:rPr>
          <w:rFonts w:hint="eastAsia" w:ascii="仿宋" w:hAnsi="仿宋" w:eastAsia="仿宋" w:cs="仿宋"/>
          <w:b/>
          <w:bCs w:val="0"/>
          <w:color w:val="000000" w:themeColor="text1"/>
          <w:sz w:val="32"/>
          <w:szCs w:val="32"/>
          <w:lang w:val="en-US" w:eastAsia="zh-CN"/>
          <w14:textFill>
            <w14:solidFill>
              <w14:schemeClr w14:val="tx1"/>
            </w14:solidFill>
          </w14:textFill>
        </w:rPr>
      </w:pPr>
      <w:bookmarkStart w:id="65" w:name="_Toc8617"/>
      <w:bookmarkStart w:id="66" w:name="_Toc20896"/>
      <w:r>
        <w:rPr>
          <w:rFonts w:hint="eastAsia" w:ascii="仿宋" w:hAnsi="仿宋" w:eastAsia="仿宋" w:cs="仿宋"/>
          <w:b/>
          <w:bCs w:val="0"/>
          <w:color w:val="000000" w:themeColor="text1"/>
          <w:sz w:val="32"/>
          <w:szCs w:val="32"/>
          <w:lang w:val="en-US" w:eastAsia="zh-CN"/>
          <w14:textFill>
            <w14:solidFill>
              <w14:schemeClr w14:val="tx1"/>
            </w14:solidFill>
          </w14:textFill>
        </w:rPr>
        <w:t>4.兼职教师</w:t>
      </w:r>
      <w:bookmarkEnd w:id="65"/>
      <w:bookmarkEnd w:id="66"/>
    </w:p>
    <w:p>
      <w:pPr>
        <w:spacing w:line="560" w:lineRule="exact"/>
        <w:ind w:firstLine="570"/>
        <w:jc w:val="left"/>
        <w:rPr>
          <w:rFonts w:hint="eastAsia" w:ascii="仿宋" w:hAnsi="仿宋" w:eastAsia="仿宋" w:cs="仿宋"/>
          <w:bCs/>
          <w:color w:val="000000" w:themeColor="text1"/>
          <w:sz w:val="32"/>
          <w:szCs w:val="32"/>
          <w:lang w:eastAsia="zh-CN"/>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兼职教师主要从与本专业相关的行业企业聘任。要求具备良好的思想政治素质、职业道德和工匠精神，具有扎实的专业知识和丰富的实际工作经验，具有中级及以上相关专业</w:t>
      </w:r>
      <w:r>
        <w:rPr>
          <w:rFonts w:hint="eastAsia" w:ascii="仿宋" w:hAnsi="仿宋" w:eastAsia="仿宋" w:cs="仿宋"/>
          <w:bCs/>
          <w:color w:val="000000" w:themeColor="text1"/>
          <w:sz w:val="32"/>
          <w:szCs w:val="32"/>
          <w:lang w:val="en-US" w:eastAsia="zh-CN"/>
          <w14:textFill>
            <w14:solidFill>
              <w14:schemeClr w14:val="tx1"/>
            </w14:solidFill>
          </w14:textFill>
        </w:rPr>
        <w:t>职称</w:t>
      </w:r>
      <w:r>
        <w:rPr>
          <w:rFonts w:hint="eastAsia" w:ascii="仿宋" w:hAnsi="仿宋" w:eastAsia="仿宋" w:cs="仿宋"/>
          <w:bCs/>
          <w:color w:val="000000" w:themeColor="text1"/>
          <w:sz w:val="32"/>
          <w:szCs w:val="32"/>
          <w14:textFill>
            <w14:solidFill>
              <w14:schemeClr w14:val="tx1"/>
            </w14:solidFill>
          </w14:textFill>
        </w:rPr>
        <w:t>，能承担专业课程教学、实习实训指导和学生职业发展规划指导等教学任务</w:t>
      </w:r>
      <w:r>
        <w:rPr>
          <w:rFonts w:hint="eastAsia" w:ascii="仿宋" w:hAnsi="仿宋" w:eastAsia="仿宋" w:cs="仿宋"/>
          <w:bCs/>
          <w:color w:val="000000" w:themeColor="text1"/>
          <w:sz w:val="32"/>
          <w:szCs w:val="32"/>
          <w:lang w:eastAsia="zh-CN"/>
          <w14:textFill>
            <w14:solidFill>
              <w14:schemeClr w14:val="tx1"/>
            </w14:solidFill>
          </w14:textFill>
        </w:rPr>
        <w:t>。</w:t>
      </w:r>
    </w:p>
    <w:p>
      <w:pPr>
        <w:spacing w:line="560" w:lineRule="exact"/>
        <w:ind w:firstLine="570"/>
        <w:jc w:val="left"/>
        <w:rPr>
          <w:rFonts w:hint="eastAsia" w:ascii="仿宋" w:hAnsi="仿宋" w:eastAsia="仿宋" w:cs="仿宋"/>
          <w:bCs/>
          <w:color w:val="000000" w:themeColor="text1"/>
          <w:sz w:val="32"/>
          <w:szCs w:val="32"/>
          <w:lang w:val="en-US" w:eastAsia="zh-CN"/>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师资队伍一览表</w:t>
      </w:r>
      <w:r>
        <w:rPr>
          <w:rFonts w:hint="eastAsia" w:ascii="仿宋" w:hAnsi="仿宋" w:eastAsia="仿宋" w:cs="仿宋"/>
          <w:bCs/>
          <w:color w:val="000000" w:themeColor="text1"/>
          <w:sz w:val="32"/>
          <w:szCs w:val="32"/>
          <w:lang w:val="en-US" w:eastAsia="zh-CN"/>
          <w14:textFill>
            <w14:solidFill>
              <w14:schemeClr w14:val="tx1"/>
            </w14:solidFill>
          </w14:textFill>
        </w:rPr>
        <w:t>见表1-12。</w:t>
      </w:r>
    </w:p>
    <w:p>
      <w:pPr>
        <w:spacing w:line="560" w:lineRule="exact"/>
        <w:jc w:val="left"/>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 xml:space="preserve">表1-12                   </w:t>
      </w:r>
      <w:r>
        <w:rPr>
          <w:rFonts w:hint="eastAsia" w:ascii="仿宋" w:hAnsi="仿宋" w:eastAsia="仿宋" w:cs="仿宋"/>
          <w:bCs/>
          <w:color w:val="000000" w:themeColor="text1"/>
          <w:sz w:val="28"/>
          <w:szCs w:val="28"/>
          <w14:textFill>
            <w14:solidFill>
              <w14:schemeClr w14:val="tx1"/>
            </w14:solidFill>
          </w14:textFill>
        </w:rPr>
        <w:t>师资队伍一览表</w:t>
      </w:r>
    </w:p>
    <w:tbl>
      <w:tblPr>
        <w:tblStyle w:val="10"/>
        <w:tblW w:w="867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40"/>
        <w:gridCol w:w="2571"/>
        <w:gridCol w:w="1104"/>
        <w:gridCol w:w="1700"/>
        <w:gridCol w:w="24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序号</w:t>
            </w:r>
          </w:p>
        </w:tc>
        <w:tc>
          <w:tcPr>
            <w:tcW w:w="2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姓名</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学历</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职称</w:t>
            </w:r>
          </w:p>
        </w:tc>
        <w:tc>
          <w:tcPr>
            <w:tcW w:w="2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省里认定的双师资格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赵建素（专业部主任）</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本科</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正高级讲师</w:t>
            </w:r>
          </w:p>
        </w:tc>
        <w:tc>
          <w:tcPr>
            <w:tcW w:w="2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2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郝翠玲</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本科</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高级讲师</w:t>
            </w:r>
          </w:p>
        </w:tc>
        <w:tc>
          <w:tcPr>
            <w:tcW w:w="2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2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 翠</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本科</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高级讲师</w:t>
            </w:r>
          </w:p>
        </w:tc>
        <w:tc>
          <w:tcPr>
            <w:tcW w:w="2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2"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2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田 烨</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本科</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高级讲师</w:t>
            </w:r>
          </w:p>
        </w:tc>
        <w:tc>
          <w:tcPr>
            <w:tcW w:w="2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2"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2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 娟</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本科</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高级讲师</w:t>
            </w:r>
          </w:p>
        </w:tc>
        <w:tc>
          <w:tcPr>
            <w:tcW w:w="2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2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曹 蕊</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本科</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讲师</w:t>
            </w:r>
          </w:p>
        </w:tc>
        <w:tc>
          <w:tcPr>
            <w:tcW w:w="2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2"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2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芦睿娟</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本科</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讲师</w:t>
            </w:r>
          </w:p>
        </w:tc>
        <w:tc>
          <w:tcPr>
            <w:tcW w:w="2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2"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2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庞 翠</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本科</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讲师</w:t>
            </w:r>
          </w:p>
        </w:tc>
        <w:tc>
          <w:tcPr>
            <w:tcW w:w="2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2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 蕾</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本科</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讲师</w:t>
            </w:r>
          </w:p>
        </w:tc>
        <w:tc>
          <w:tcPr>
            <w:tcW w:w="2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2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陈 镜</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本科</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讲师</w:t>
            </w:r>
          </w:p>
        </w:tc>
        <w:tc>
          <w:tcPr>
            <w:tcW w:w="2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2"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w:t>
            </w:r>
          </w:p>
        </w:tc>
        <w:tc>
          <w:tcPr>
            <w:tcW w:w="2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李柳</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本科</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讲师</w:t>
            </w:r>
          </w:p>
        </w:tc>
        <w:tc>
          <w:tcPr>
            <w:tcW w:w="2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w:t>
            </w:r>
          </w:p>
        </w:tc>
        <w:tc>
          <w:tcPr>
            <w:tcW w:w="2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王 曼</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本科</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讲师</w:t>
            </w:r>
          </w:p>
        </w:tc>
        <w:tc>
          <w:tcPr>
            <w:tcW w:w="2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2"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w:t>
            </w:r>
          </w:p>
        </w:tc>
        <w:tc>
          <w:tcPr>
            <w:tcW w:w="2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周 茜</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本科</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讲师</w:t>
            </w:r>
          </w:p>
        </w:tc>
        <w:tc>
          <w:tcPr>
            <w:tcW w:w="2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2"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w:t>
            </w:r>
          </w:p>
        </w:tc>
        <w:tc>
          <w:tcPr>
            <w:tcW w:w="2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田 杨</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本科</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助理讲师</w:t>
            </w:r>
          </w:p>
        </w:tc>
        <w:tc>
          <w:tcPr>
            <w:tcW w:w="2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2"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w:t>
            </w:r>
          </w:p>
        </w:tc>
        <w:tc>
          <w:tcPr>
            <w:tcW w:w="2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王宏颖</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本科</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助理讲师</w:t>
            </w:r>
          </w:p>
        </w:tc>
        <w:tc>
          <w:tcPr>
            <w:tcW w:w="2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w:t>
            </w:r>
          </w:p>
        </w:tc>
        <w:tc>
          <w:tcPr>
            <w:tcW w:w="2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袁彦维</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本科</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助理讲师</w:t>
            </w:r>
          </w:p>
        </w:tc>
        <w:tc>
          <w:tcPr>
            <w:tcW w:w="2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w:t>
            </w:r>
          </w:p>
        </w:tc>
        <w:tc>
          <w:tcPr>
            <w:tcW w:w="2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 丹</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本科</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助理讲师</w:t>
            </w:r>
          </w:p>
        </w:tc>
        <w:tc>
          <w:tcPr>
            <w:tcW w:w="2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2"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w:t>
            </w:r>
          </w:p>
        </w:tc>
        <w:tc>
          <w:tcPr>
            <w:tcW w:w="2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崔艳艳</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本科</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讲师</w:t>
            </w:r>
          </w:p>
        </w:tc>
        <w:tc>
          <w:tcPr>
            <w:tcW w:w="2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初级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2"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w:t>
            </w:r>
          </w:p>
        </w:tc>
        <w:tc>
          <w:tcPr>
            <w:tcW w:w="2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刘红雨</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本科</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助理讲师</w:t>
            </w:r>
          </w:p>
        </w:tc>
        <w:tc>
          <w:tcPr>
            <w:tcW w:w="2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初级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2"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w:t>
            </w:r>
          </w:p>
        </w:tc>
        <w:tc>
          <w:tcPr>
            <w:tcW w:w="2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许超平</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本科</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高级讲师</w:t>
            </w:r>
          </w:p>
        </w:tc>
        <w:tc>
          <w:tcPr>
            <w:tcW w:w="2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初级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2"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21</w:t>
            </w:r>
          </w:p>
        </w:tc>
        <w:tc>
          <w:tcPr>
            <w:tcW w:w="2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殷美倩</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本科</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助理讲师</w:t>
            </w:r>
          </w:p>
        </w:tc>
        <w:tc>
          <w:tcPr>
            <w:tcW w:w="2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初级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w:t>
            </w:r>
          </w:p>
        </w:tc>
        <w:tc>
          <w:tcPr>
            <w:tcW w:w="2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张春强</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本科</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高级讲师</w:t>
            </w:r>
          </w:p>
        </w:tc>
        <w:tc>
          <w:tcPr>
            <w:tcW w:w="2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初级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2"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23</w:t>
            </w:r>
          </w:p>
        </w:tc>
        <w:tc>
          <w:tcPr>
            <w:tcW w:w="2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焦忠海</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本科</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讲师</w:t>
            </w:r>
          </w:p>
        </w:tc>
        <w:tc>
          <w:tcPr>
            <w:tcW w:w="2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初级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24</w:t>
            </w:r>
          </w:p>
        </w:tc>
        <w:tc>
          <w:tcPr>
            <w:tcW w:w="2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李诗雨</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本科</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助理讲师</w:t>
            </w:r>
          </w:p>
        </w:tc>
        <w:tc>
          <w:tcPr>
            <w:tcW w:w="2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2"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w:t>
            </w:r>
          </w:p>
        </w:tc>
        <w:tc>
          <w:tcPr>
            <w:tcW w:w="2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刘青萍</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本科</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i w:val="0"/>
                <w:iCs w:val="0"/>
                <w:color w:val="000000"/>
                <w:sz w:val="24"/>
                <w:szCs w:val="24"/>
                <w:u w:val="none"/>
              </w:rPr>
            </w:pPr>
          </w:p>
        </w:tc>
        <w:tc>
          <w:tcPr>
            <w:tcW w:w="2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26</w:t>
            </w:r>
          </w:p>
        </w:tc>
        <w:tc>
          <w:tcPr>
            <w:tcW w:w="2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李 菁</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研究生</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i w:val="0"/>
                <w:iCs w:val="0"/>
                <w:color w:val="000000"/>
                <w:sz w:val="24"/>
                <w:szCs w:val="24"/>
                <w:u w:val="none"/>
              </w:rPr>
            </w:pPr>
          </w:p>
        </w:tc>
        <w:tc>
          <w:tcPr>
            <w:tcW w:w="2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2"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27</w:t>
            </w:r>
          </w:p>
        </w:tc>
        <w:tc>
          <w:tcPr>
            <w:tcW w:w="2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王煜哲</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本科</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i w:val="0"/>
                <w:iCs w:val="0"/>
                <w:color w:val="000000"/>
                <w:sz w:val="24"/>
                <w:szCs w:val="24"/>
                <w:u w:val="none"/>
              </w:rPr>
            </w:pPr>
          </w:p>
        </w:tc>
        <w:tc>
          <w:tcPr>
            <w:tcW w:w="2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28</w:t>
            </w:r>
          </w:p>
        </w:tc>
        <w:tc>
          <w:tcPr>
            <w:tcW w:w="2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林剑平</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研究生</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企业兼职教师</w:t>
            </w:r>
          </w:p>
        </w:tc>
        <w:tc>
          <w:tcPr>
            <w:tcW w:w="2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29</w:t>
            </w:r>
          </w:p>
        </w:tc>
        <w:tc>
          <w:tcPr>
            <w:tcW w:w="25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黄秋香</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本科</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企业兼职教师</w:t>
            </w:r>
          </w:p>
        </w:tc>
        <w:tc>
          <w:tcPr>
            <w:tcW w:w="2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高级</w:t>
            </w:r>
          </w:p>
        </w:tc>
      </w:tr>
    </w:tbl>
    <w:p>
      <w:pPr>
        <w:spacing w:line="560" w:lineRule="exact"/>
        <w:ind w:firstLine="643" w:firstLineChars="200"/>
        <w:jc w:val="left"/>
        <w:outlineLvl w:val="1"/>
        <w:rPr>
          <w:rFonts w:hint="eastAsia" w:ascii="楷体" w:hAnsi="楷体" w:eastAsia="楷体" w:cs="楷体"/>
          <w:b/>
          <w:bCs/>
          <w:color w:val="000000" w:themeColor="text1"/>
          <w:sz w:val="32"/>
          <w:szCs w:val="32"/>
          <w14:textFill>
            <w14:solidFill>
              <w14:schemeClr w14:val="tx1"/>
            </w14:solidFill>
          </w14:textFill>
        </w:rPr>
      </w:pPr>
      <w:bookmarkStart w:id="67" w:name="_Toc10997"/>
      <w:bookmarkStart w:id="68" w:name="_Toc19530"/>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楷体" w:hAnsi="楷体" w:eastAsia="楷体" w:cs="楷体"/>
          <w:b/>
          <w:bCs/>
          <w:color w:val="000000" w:themeColor="text1"/>
          <w:sz w:val="32"/>
          <w:szCs w:val="32"/>
          <w:lang w:val="en-US" w:eastAsia="zh-CN"/>
          <w14:textFill>
            <w14:solidFill>
              <w14:schemeClr w14:val="tx1"/>
            </w14:solidFill>
          </w14:textFill>
        </w:rPr>
        <w:t>二</w:t>
      </w:r>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楷体" w:hAnsi="楷体" w:eastAsia="楷体" w:cs="楷体"/>
          <w:b/>
          <w:bCs/>
          <w:color w:val="000000" w:themeColor="text1"/>
          <w:sz w:val="32"/>
          <w:szCs w:val="32"/>
          <w14:textFill>
            <w14:solidFill>
              <w14:schemeClr w14:val="tx1"/>
            </w14:solidFill>
          </w14:textFill>
        </w:rPr>
        <w:t>教学设施</w:t>
      </w:r>
      <w:bookmarkEnd w:id="67"/>
      <w:bookmarkEnd w:id="68"/>
    </w:p>
    <w:p>
      <w:pPr>
        <w:spacing w:line="560" w:lineRule="exact"/>
        <w:ind w:firstLine="570"/>
        <w:jc w:val="left"/>
        <w:outlineLvl w:val="2"/>
        <w:rPr>
          <w:rFonts w:hint="eastAsia" w:ascii="仿宋" w:hAnsi="仿宋" w:eastAsia="仿宋" w:cs="仿宋"/>
          <w:b/>
          <w:bCs w:val="0"/>
          <w:color w:val="000000" w:themeColor="text1"/>
          <w:sz w:val="32"/>
          <w:szCs w:val="32"/>
          <w14:textFill>
            <w14:solidFill>
              <w14:schemeClr w14:val="tx1"/>
            </w14:solidFill>
          </w14:textFill>
        </w:rPr>
      </w:pPr>
      <w:bookmarkStart w:id="69" w:name="_Toc11797"/>
      <w:bookmarkStart w:id="70" w:name="_Toc15810"/>
      <w:r>
        <w:rPr>
          <w:rFonts w:hint="eastAsia" w:ascii="仿宋" w:hAnsi="仿宋" w:eastAsia="仿宋" w:cs="仿宋"/>
          <w:b/>
          <w:bCs w:val="0"/>
          <w:color w:val="000000" w:themeColor="text1"/>
          <w:sz w:val="32"/>
          <w:szCs w:val="32"/>
          <w14:textFill>
            <w14:solidFill>
              <w14:schemeClr w14:val="tx1"/>
            </w14:solidFill>
          </w14:textFill>
        </w:rPr>
        <w:t>1.专业教室基本条件</w:t>
      </w:r>
      <w:bookmarkEnd w:id="69"/>
      <w:bookmarkEnd w:id="70"/>
    </w:p>
    <w:p>
      <w:pPr>
        <w:spacing w:line="560" w:lineRule="exact"/>
        <w:ind w:firstLine="570"/>
        <w:jc w:val="left"/>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专业教室一般配备黑(白) 板、多媒体计算机、投影设备、音响设备，互联网接入或WiFi环境，并实施网络安全防护措施</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14:textFill>
            <w14:solidFill>
              <w14:schemeClr w14:val="tx1"/>
            </w14:solidFill>
          </w14:textFill>
        </w:rPr>
        <w:t>安装应急照明装置并保持良好状态，符合紧急疏散要求，标志明显，保持逃生通道畅通无阻。</w:t>
      </w:r>
    </w:p>
    <w:p>
      <w:pPr>
        <w:spacing w:line="560" w:lineRule="exact"/>
        <w:ind w:firstLine="570"/>
        <w:jc w:val="left"/>
        <w:outlineLvl w:val="2"/>
        <w:rPr>
          <w:rFonts w:hint="eastAsia" w:ascii="仿宋" w:hAnsi="仿宋" w:eastAsia="仿宋" w:cs="仿宋"/>
          <w:b/>
          <w:bCs w:val="0"/>
          <w:color w:val="000000" w:themeColor="text1"/>
          <w:sz w:val="32"/>
          <w:szCs w:val="32"/>
          <w:highlight w:val="none"/>
          <w14:textFill>
            <w14:solidFill>
              <w14:schemeClr w14:val="tx1"/>
            </w14:solidFill>
          </w14:textFill>
        </w:rPr>
      </w:pPr>
      <w:bookmarkStart w:id="71" w:name="_Toc26043"/>
      <w:bookmarkStart w:id="72" w:name="_Toc24523"/>
      <w:r>
        <w:rPr>
          <w:rFonts w:hint="eastAsia" w:ascii="仿宋" w:hAnsi="仿宋" w:eastAsia="仿宋" w:cs="仿宋"/>
          <w:b/>
          <w:bCs w:val="0"/>
          <w:color w:val="000000" w:themeColor="text1"/>
          <w:sz w:val="32"/>
          <w:szCs w:val="32"/>
          <w:highlight w:val="none"/>
          <w14:textFill>
            <w14:solidFill>
              <w14:schemeClr w14:val="tx1"/>
            </w14:solidFill>
          </w14:textFill>
        </w:rPr>
        <w:t>2.校内实训室基本要求</w:t>
      </w:r>
      <w:bookmarkEnd w:id="71"/>
      <w:bookmarkEnd w:id="72"/>
      <w:r>
        <w:rPr>
          <w:rFonts w:hint="eastAsia" w:ascii="仿宋" w:hAnsi="仿宋" w:eastAsia="仿宋" w:cs="仿宋"/>
          <w:b/>
          <w:bCs w:val="0"/>
          <w:color w:val="000000" w:themeColor="text1"/>
          <w:sz w:val="32"/>
          <w:szCs w:val="32"/>
          <w:highlight w:val="none"/>
          <w14:textFill>
            <w14:solidFill>
              <w14:schemeClr w14:val="tx1"/>
            </w14:solidFill>
          </w14:textFill>
        </w:rPr>
        <w:t xml:space="preserve"> </w:t>
      </w:r>
    </w:p>
    <w:p>
      <w:pPr>
        <w:spacing w:line="560" w:lineRule="exact"/>
        <w:ind w:firstLine="570"/>
        <w:jc w:val="left"/>
        <w:rPr>
          <w:rFonts w:hint="eastAsia" w:ascii="仿宋" w:hAnsi="仿宋" w:eastAsia="仿宋" w:cs="仿宋"/>
          <w:bCs/>
          <w:color w:val="000000" w:themeColor="text1"/>
          <w:sz w:val="32"/>
          <w:szCs w:val="32"/>
          <w:lang w:val="en-US" w:eastAsia="zh-CN"/>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校内实训室基本要求见表1-</w:t>
      </w:r>
      <w:r>
        <w:rPr>
          <w:rFonts w:hint="eastAsia" w:ascii="仿宋" w:hAnsi="仿宋" w:eastAsia="仿宋" w:cs="仿宋"/>
          <w:bCs/>
          <w:color w:val="000000" w:themeColor="text1"/>
          <w:sz w:val="32"/>
          <w:szCs w:val="32"/>
          <w:lang w:val="en-US" w:eastAsia="zh-CN"/>
          <w14:textFill>
            <w14:solidFill>
              <w14:schemeClr w14:val="tx1"/>
            </w14:solidFill>
          </w14:textFill>
        </w:rPr>
        <w:t>13。</w:t>
      </w:r>
    </w:p>
    <w:p>
      <w:pPr>
        <w:spacing w:line="560" w:lineRule="exact"/>
        <w:jc w:val="left"/>
        <w:rPr>
          <w:rFonts w:hint="default"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表1-13               </w:t>
      </w:r>
      <w:r>
        <w:rPr>
          <w:rFonts w:hint="eastAsia" w:ascii="仿宋" w:hAnsi="仿宋" w:eastAsia="仿宋" w:cs="仿宋"/>
          <w:b w:val="0"/>
          <w:bCs/>
          <w:color w:val="000000" w:themeColor="text1"/>
          <w:sz w:val="28"/>
          <w:szCs w:val="28"/>
          <w14:textFill>
            <w14:solidFill>
              <w14:schemeClr w14:val="tx1"/>
            </w14:solidFill>
          </w14:textFill>
        </w:rPr>
        <w:t>校内实训室基本要求</w:t>
      </w:r>
    </w:p>
    <w:tbl>
      <w:tblPr>
        <w:tblStyle w:val="11"/>
        <w:tblW w:w="80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7"/>
        <w:gridCol w:w="1670"/>
        <w:gridCol w:w="3419"/>
        <w:gridCol w:w="2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Cs/>
                <w:color w:val="000000" w:themeColor="text1"/>
                <w:sz w:val="24"/>
                <w:szCs w:val="24"/>
                <w:vertAlign w:val="baseline"/>
                <w:lang w:val="en-US" w:eastAsia="zh-CN"/>
                <w14:textFill>
                  <w14:solidFill>
                    <w14:schemeClr w14:val="tx1"/>
                  </w14:solidFill>
                </w14:textFill>
              </w:rPr>
            </w:pPr>
            <w:r>
              <w:rPr>
                <w:rFonts w:hint="eastAsia" w:ascii="仿宋" w:hAnsi="仿宋" w:eastAsia="仿宋" w:cs="仿宋"/>
                <w:bCs/>
                <w:color w:val="000000" w:themeColor="text1"/>
                <w:sz w:val="24"/>
                <w:szCs w:val="24"/>
                <w:vertAlign w:val="baseline"/>
                <w:lang w:val="en-US" w:eastAsia="zh-CN"/>
                <w14:textFill>
                  <w14:solidFill>
                    <w14:schemeClr w14:val="tx1"/>
                  </w14:solidFill>
                </w14:textFill>
              </w:rPr>
              <w:t>序号</w:t>
            </w:r>
          </w:p>
        </w:tc>
        <w:tc>
          <w:tcPr>
            <w:tcW w:w="1670"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Cs/>
                <w:color w:val="000000" w:themeColor="text1"/>
                <w:sz w:val="24"/>
                <w:szCs w:val="24"/>
                <w:vertAlign w:val="baseline"/>
                <w:lang w:val="en-US" w:eastAsia="zh-CN"/>
                <w14:textFill>
                  <w14:solidFill>
                    <w14:schemeClr w14:val="tx1"/>
                  </w14:solidFill>
                </w14:textFill>
              </w:rPr>
            </w:pPr>
            <w:r>
              <w:rPr>
                <w:rFonts w:hint="eastAsia" w:ascii="仿宋" w:hAnsi="仿宋" w:eastAsia="仿宋" w:cs="仿宋"/>
                <w:bCs/>
                <w:color w:val="000000" w:themeColor="text1"/>
                <w:sz w:val="24"/>
                <w:szCs w:val="24"/>
                <w:vertAlign w:val="baseline"/>
                <w:lang w:val="en-US" w:eastAsia="zh-CN"/>
                <w14:textFill>
                  <w14:solidFill>
                    <w14:schemeClr w14:val="tx1"/>
                  </w14:solidFill>
                </w14:textFill>
              </w:rPr>
              <w:t>实训室名称</w:t>
            </w:r>
          </w:p>
        </w:tc>
        <w:tc>
          <w:tcPr>
            <w:tcW w:w="3419"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Cs/>
                <w:color w:val="000000" w:themeColor="text1"/>
                <w:sz w:val="24"/>
                <w:szCs w:val="24"/>
                <w:vertAlign w:val="baseline"/>
                <w:lang w:val="en-US" w:eastAsia="zh-CN"/>
                <w14:textFill>
                  <w14:solidFill>
                    <w14:schemeClr w14:val="tx1"/>
                  </w14:solidFill>
                </w14:textFill>
              </w:rPr>
            </w:pPr>
            <w:r>
              <w:rPr>
                <w:rFonts w:hint="eastAsia" w:ascii="仿宋" w:hAnsi="仿宋" w:eastAsia="仿宋" w:cs="仿宋"/>
                <w:bCs/>
                <w:color w:val="000000" w:themeColor="text1"/>
                <w:sz w:val="24"/>
                <w:szCs w:val="24"/>
                <w:vertAlign w:val="baseline"/>
                <w:lang w:val="en-US" w:eastAsia="zh-CN"/>
                <w14:textFill>
                  <w14:solidFill>
                    <w14:schemeClr w14:val="tx1"/>
                  </w14:solidFill>
                </w14:textFill>
              </w:rPr>
              <w:t>功能</w:t>
            </w:r>
          </w:p>
        </w:tc>
        <w:tc>
          <w:tcPr>
            <w:tcW w:w="2373"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Cs/>
                <w:color w:val="000000" w:themeColor="text1"/>
                <w:sz w:val="24"/>
                <w:szCs w:val="24"/>
                <w:vertAlign w:val="baseline"/>
                <w:lang w:val="en-US" w:eastAsia="zh-CN"/>
                <w14:textFill>
                  <w14:solidFill>
                    <w14:schemeClr w14:val="tx1"/>
                  </w14:solidFill>
                </w14:textFill>
              </w:rPr>
            </w:pPr>
            <w:r>
              <w:rPr>
                <w:rFonts w:hint="eastAsia" w:ascii="仿宋" w:hAnsi="仿宋" w:eastAsia="仿宋" w:cs="仿宋"/>
                <w:bCs/>
                <w:color w:val="000000" w:themeColor="text1"/>
                <w:sz w:val="24"/>
                <w:szCs w:val="24"/>
                <w:vertAlign w:val="baseline"/>
                <w:lang w:val="en-US" w:eastAsia="zh-CN"/>
                <w14:textFill>
                  <w14:solidFill>
                    <w14:schemeClr w14:val="tx1"/>
                  </w14:solidFill>
                </w14:textFill>
              </w:rPr>
              <w:t>主要设备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t>1</w:t>
            </w:r>
          </w:p>
        </w:tc>
        <w:tc>
          <w:tcPr>
            <w:tcW w:w="1670"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t>智慧财务</w:t>
            </w:r>
          </w:p>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t>创新中心</w:t>
            </w:r>
          </w:p>
        </w:tc>
        <w:tc>
          <w:tcPr>
            <w:tcW w:w="3419"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 w:hAnsi="仿宋" w:eastAsia="仿宋" w:cs="仿宋"/>
                <w:b/>
                <w:bCs/>
                <w:kern w:val="0"/>
                <w:sz w:val="24"/>
                <w:szCs w:val="24"/>
                <w:lang w:val="en-US" w:eastAsia="zh-CN" w:bidi="ar"/>
              </w:rPr>
            </w:pPr>
            <w:r>
              <w:rPr>
                <w:rFonts w:hint="eastAsia" w:ascii="仿宋" w:hAnsi="仿宋" w:eastAsia="仿宋" w:cs="仿宋"/>
                <w:kern w:val="0"/>
                <w:sz w:val="24"/>
                <w:szCs w:val="24"/>
                <w:lang w:val="en-US" w:eastAsia="zh-CN" w:bidi="ar"/>
              </w:rPr>
              <w:t>利用智慧财务云平台进行财务机器人、财务人员的协同工作实训</w:t>
            </w:r>
          </w:p>
        </w:tc>
        <w:tc>
          <w:tcPr>
            <w:tcW w:w="2373"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仿宋" w:hAnsi="仿宋" w:eastAsia="仿宋" w:cs="仿宋"/>
                <w:b/>
                <w:bCs/>
                <w:kern w:val="0"/>
                <w:sz w:val="24"/>
                <w:szCs w:val="24"/>
                <w:lang w:val="en-US" w:eastAsia="zh-CN" w:bidi="ar"/>
              </w:rPr>
            </w:pPr>
            <w:r>
              <w:rPr>
                <w:rFonts w:hint="eastAsia" w:ascii="仿宋" w:hAnsi="仿宋" w:eastAsia="仿宋" w:cs="仿宋"/>
                <w:kern w:val="0"/>
                <w:sz w:val="24"/>
                <w:szCs w:val="24"/>
                <w:lang w:val="en-US" w:eastAsia="zh-CN" w:bidi="ar"/>
              </w:rPr>
              <w:t>67台电脑、1套多媒体设备、扫描设备16台</w:t>
            </w:r>
            <w:bookmarkStart w:id="109" w:name="_GoBack"/>
            <w:bookmarkEnd w:id="10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t>2</w:t>
            </w:r>
          </w:p>
        </w:tc>
        <w:tc>
          <w:tcPr>
            <w:tcW w:w="1670"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t>税务素养</w:t>
            </w:r>
          </w:p>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t>实践中心</w:t>
            </w:r>
          </w:p>
        </w:tc>
        <w:tc>
          <w:tcPr>
            <w:tcW w:w="3419"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 w:hAnsi="仿宋" w:eastAsia="仿宋" w:cs="仿宋"/>
                <w:b/>
                <w:bCs/>
                <w:kern w:val="0"/>
                <w:sz w:val="24"/>
                <w:szCs w:val="24"/>
                <w:lang w:val="en-US" w:eastAsia="zh-CN" w:bidi="ar"/>
              </w:rPr>
            </w:pPr>
            <w:r>
              <w:rPr>
                <w:rFonts w:hint="eastAsia" w:ascii="仿宋" w:hAnsi="仿宋" w:eastAsia="仿宋" w:cs="仿宋"/>
                <w:kern w:val="0"/>
                <w:sz w:val="24"/>
                <w:szCs w:val="24"/>
                <w:lang w:val="en-US" w:eastAsia="zh-CN" w:bidi="ar"/>
              </w:rPr>
              <w:t>利用税务技能赛训平台进行税务业务的模拟训练</w:t>
            </w:r>
          </w:p>
        </w:tc>
        <w:tc>
          <w:tcPr>
            <w:tcW w:w="2373"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 w:hAnsi="仿宋" w:eastAsia="仿宋" w:cs="仿宋"/>
                <w:b/>
                <w:bCs/>
                <w:kern w:val="0"/>
                <w:sz w:val="24"/>
                <w:szCs w:val="24"/>
                <w:lang w:val="en-US" w:eastAsia="zh-CN" w:bidi="ar"/>
              </w:rPr>
            </w:pPr>
            <w:r>
              <w:rPr>
                <w:rFonts w:hint="eastAsia" w:ascii="仿宋" w:hAnsi="仿宋" w:eastAsia="仿宋" w:cs="仿宋"/>
                <w:kern w:val="0"/>
                <w:sz w:val="24"/>
                <w:szCs w:val="24"/>
                <w:lang w:val="en-US" w:eastAsia="zh-CN" w:bidi="ar"/>
              </w:rPr>
              <w:t>60台电脑、1套多媒体设备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t>3</w:t>
            </w:r>
          </w:p>
        </w:tc>
        <w:tc>
          <w:tcPr>
            <w:tcW w:w="1670"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t>业财税综合实训中心</w:t>
            </w:r>
          </w:p>
        </w:tc>
        <w:tc>
          <w:tcPr>
            <w:tcW w:w="3419"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 w:hAnsi="仿宋" w:eastAsia="仿宋" w:cs="仿宋"/>
                <w:b/>
                <w:bCs/>
                <w:kern w:val="0"/>
                <w:sz w:val="24"/>
                <w:szCs w:val="24"/>
                <w:lang w:val="en-US" w:eastAsia="zh-CN" w:bidi="ar"/>
              </w:rPr>
            </w:pPr>
            <w:r>
              <w:rPr>
                <w:rFonts w:hint="eastAsia" w:ascii="仿宋" w:hAnsi="仿宋" w:eastAsia="仿宋" w:cs="仿宋"/>
                <w:kern w:val="0"/>
                <w:sz w:val="24"/>
                <w:szCs w:val="24"/>
                <w:lang w:val="en-US" w:eastAsia="zh-CN" w:bidi="ar"/>
              </w:rPr>
              <w:t>利用财会职业能力养成平台进行业财税审一体化实训</w:t>
            </w:r>
          </w:p>
        </w:tc>
        <w:tc>
          <w:tcPr>
            <w:tcW w:w="2373"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 w:hAnsi="仿宋" w:eastAsia="仿宋" w:cs="仿宋"/>
                <w:b/>
                <w:bCs/>
                <w:kern w:val="0"/>
                <w:sz w:val="24"/>
                <w:szCs w:val="24"/>
                <w:lang w:val="en-US" w:eastAsia="zh-CN" w:bidi="ar"/>
              </w:rPr>
            </w:pPr>
            <w:r>
              <w:rPr>
                <w:rFonts w:hint="eastAsia" w:ascii="仿宋" w:hAnsi="仿宋" w:eastAsia="仿宋" w:cs="仿宋"/>
                <w:kern w:val="0"/>
                <w:sz w:val="24"/>
                <w:szCs w:val="24"/>
                <w:lang w:val="en-US" w:eastAsia="zh-CN" w:bidi="ar"/>
              </w:rPr>
              <w:t>60台电脑、1套多媒体设备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t>4</w:t>
            </w:r>
          </w:p>
        </w:tc>
        <w:tc>
          <w:tcPr>
            <w:tcW w:w="1670"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t>岗课赛证</w:t>
            </w:r>
          </w:p>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t>服务中心</w:t>
            </w:r>
          </w:p>
        </w:tc>
        <w:tc>
          <w:tcPr>
            <w:tcW w:w="3419"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 w:hAnsi="仿宋" w:eastAsia="仿宋" w:cs="仿宋"/>
                <w:b/>
                <w:bCs/>
                <w:kern w:val="0"/>
                <w:sz w:val="24"/>
                <w:szCs w:val="24"/>
                <w:lang w:val="en-US" w:eastAsia="zh-CN" w:bidi="ar"/>
              </w:rPr>
            </w:pPr>
            <w:r>
              <w:rPr>
                <w:rFonts w:hint="eastAsia" w:ascii="仿宋" w:hAnsi="仿宋" w:eastAsia="仿宋" w:cs="仿宋"/>
                <w:sz w:val="24"/>
                <w:szCs w:val="24"/>
              </w:rPr>
              <w:t>支持考证、竞赛训练、社会培训等服务，可作为职业技能证书的考测现场，同时也可作为国赛、省赛、市赛的比赛场所。</w:t>
            </w:r>
          </w:p>
        </w:tc>
        <w:tc>
          <w:tcPr>
            <w:tcW w:w="2373"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 w:hAnsi="仿宋" w:eastAsia="仿宋" w:cs="仿宋"/>
                <w:b/>
                <w:bCs/>
                <w:kern w:val="0"/>
                <w:sz w:val="24"/>
                <w:szCs w:val="24"/>
                <w:lang w:val="en-US" w:eastAsia="zh-CN" w:bidi="ar"/>
              </w:rPr>
            </w:pPr>
            <w:r>
              <w:rPr>
                <w:rFonts w:hint="eastAsia" w:ascii="仿宋" w:hAnsi="仿宋" w:eastAsia="仿宋" w:cs="仿宋"/>
                <w:kern w:val="0"/>
                <w:sz w:val="24"/>
                <w:szCs w:val="24"/>
                <w:lang w:val="en-US" w:eastAsia="zh-CN" w:bidi="ar"/>
              </w:rPr>
              <w:t>60台电脑、1套多媒体设备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t>5</w:t>
            </w:r>
          </w:p>
        </w:tc>
        <w:tc>
          <w:tcPr>
            <w:tcW w:w="1670"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kern w:val="0"/>
                <w:sz w:val="24"/>
                <w:szCs w:val="24"/>
                <w:highlight w:val="none"/>
                <w:lang w:bidi="ar"/>
              </w:rPr>
            </w:pPr>
            <w:r>
              <w:rPr>
                <w:rFonts w:hint="eastAsia" w:ascii="仿宋" w:hAnsi="仿宋" w:eastAsia="仿宋" w:cs="仿宋"/>
                <w:kern w:val="0"/>
                <w:sz w:val="24"/>
                <w:szCs w:val="24"/>
                <w:highlight w:val="none"/>
                <w:lang w:bidi="ar"/>
              </w:rPr>
              <w:t>会计信息化</w:t>
            </w:r>
          </w:p>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kern w:val="0"/>
                <w:sz w:val="24"/>
                <w:szCs w:val="24"/>
                <w:highlight w:val="none"/>
                <w:lang w:bidi="ar"/>
              </w:rPr>
              <w:t>实训室</w:t>
            </w:r>
            <w:r>
              <w:rPr>
                <w:rFonts w:hint="eastAsia" w:ascii="仿宋" w:hAnsi="仿宋" w:eastAsia="仿宋" w:cs="仿宋"/>
                <w:kern w:val="0"/>
                <w:sz w:val="24"/>
                <w:szCs w:val="24"/>
                <w:highlight w:val="none"/>
                <w:lang w:val="en-US" w:eastAsia="zh-CN" w:bidi="ar"/>
              </w:rPr>
              <w:t>1</w:t>
            </w:r>
          </w:p>
        </w:tc>
        <w:tc>
          <w:tcPr>
            <w:tcW w:w="3419"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仿宋" w:hAnsi="仿宋" w:eastAsia="仿宋" w:cs="仿宋"/>
                <w:b/>
                <w:bCs/>
                <w:kern w:val="0"/>
                <w:sz w:val="24"/>
                <w:szCs w:val="24"/>
                <w:lang w:val="en-US" w:eastAsia="zh-CN" w:bidi="ar"/>
              </w:rPr>
            </w:pPr>
            <w:r>
              <w:rPr>
                <w:rFonts w:hint="eastAsia" w:ascii="仿宋" w:hAnsi="仿宋" w:eastAsia="仿宋" w:cs="仿宋"/>
                <w:kern w:val="0"/>
                <w:sz w:val="24"/>
                <w:szCs w:val="24"/>
                <w:lang w:val="en-US" w:eastAsia="zh-CN" w:bidi="ar"/>
              </w:rPr>
              <w:t>利用会计教学软件进行企业财税业务理实一体化实训</w:t>
            </w:r>
          </w:p>
        </w:tc>
        <w:tc>
          <w:tcPr>
            <w:tcW w:w="2373"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 w:hAnsi="仿宋" w:eastAsia="仿宋" w:cs="仿宋"/>
                <w:b/>
                <w:bCs/>
                <w:kern w:val="0"/>
                <w:sz w:val="24"/>
                <w:szCs w:val="24"/>
                <w:lang w:val="en-US" w:eastAsia="zh-CN" w:bidi="ar"/>
              </w:rPr>
            </w:pPr>
            <w:r>
              <w:rPr>
                <w:rFonts w:hint="eastAsia" w:ascii="仿宋" w:hAnsi="仿宋" w:eastAsia="仿宋" w:cs="仿宋"/>
                <w:kern w:val="0"/>
                <w:sz w:val="24"/>
                <w:szCs w:val="24"/>
                <w:lang w:val="en-US" w:eastAsia="zh-CN" w:bidi="ar"/>
              </w:rPr>
              <w:t>50台电脑、1套多媒体设备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t>6</w:t>
            </w:r>
          </w:p>
        </w:tc>
        <w:tc>
          <w:tcPr>
            <w:tcW w:w="1670"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kern w:val="0"/>
                <w:sz w:val="24"/>
                <w:szCs w:val="24"/>
                <w:highlight w:val="none"/>
                <w:lang w:bidi="ar"/>
              </w:rPr>
            </w:pPr>
            <w:r>
              <w:rPr>
                <w:rFonts w:hint="eastAsia" w:ascii="仿宋" w:hAnsi="仿宋" w:eastAsia="仿宋" w:cs="仿宋"/>
                <w:kern w:val="0"/>
                <w:sz w:val="24"/>
                <w:szCs w:val="24"/>
                <w:highlight w:val="none"/>
                <w:lang w:bidi="ar"/>
              </w:rPr>
              <w:t>会计信息化</w:t>
            </w:r>
          </w:p>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Cs/>
                <w:color w:val="000000" w:themeColor="text1"/>
                <w:kern w:val="2"/>
                <w:sz w:val="24"/>
                <w:szCs w:val="24"/>
                <w:highlight w:val="none"/>
                <w:vertAlign w:val="baseline"/>
                <w:lang w:val="en-US" w:eastAsia="zh-CN" w:bidi="ar-SA"/>
                <w14:textFill>
                  <w14:solidFill>
                    <w14:schemeClr w14:val="tx1"/>
                  </w14:solidFill>
                </w14:textFill>
              </w:rPr>
            </w:pPr>
            <w:r>
              <w:rPr>
                <w:rFonts w:hint="eastAsia" w:ascii="仿宋" w:hAnsi="仿宋" w:eastAsia="仿宋" w:cs="仿宋"/>
                <w:kern w:val="0"/>
                <w:sz w:val="24"/>
                <w:szCs w:val="24"/>
                <w:highlight w:val="none"/>
                <w:lang w:bidi="ar"/>
              </w:rPr>
              <w:t>实训室</w:t>
            </w:r>
            <w:r>
              <w:rPr>
                <w:rFonts w:hint="eastAsia" w:ascii="仿宋" w:hAnsi="仿宋" w:eastAsia="仿宋" w:cs="仿宋"/>
                <w:kern w:val="0"/>
                <w:sz w:val="24"/>
                <w:szCs w:val="24"/>
                <w:highlight w:val="none"/>
                <w:lang w:val="en-US" w:eastAsia="zh-CN" w:bidi="ar"/>
              </w:rPr>
              <w:t>2</w:t>
            </w:r>
          </w:p>
        </w:tc>
        <w:tc>
          <w:tcPr>
            <w:tcW w:w="3419"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 w:hAnsi="仿宋" w:eastAsia="仿宋" w:cs="仿宋"/>
                <w:b/>
                <w:bCs/>
                <w:kern w:val="0"/>
                <w:sz w:val="24"/>
                <w:szCs w:val="24"/>
                <w:lang w:val="en-US" w:eastAsia="zh-CN" w:bidi="ar"/>
              </w:rPr>
            </w:pPr>
            <w:r>
              <w:rPr>
                <w:rFonts w:hint="eastAsia" w:ascii="仿宋" w:hAnsi="仿宋" w:eastAsia="仿宋" w:cs="仿宋"/>
                <w:kern w:val="0"/>
                <w:sz w:val="24"/>
                <w:szCs w:val="24"/>
                <w:lang w:val="en-US" w:eastAsia="zh-CN" w:bidi="ar"/>
              </w:rPr>
              <w:t>利用会计教学软件进行企业财税业务理实一体化实训</w:t>
            </w:r>
          </w:p>
        </w:tc>
        <w:tc>
          <w:tcPr>
            <w:tcW w:w="2373"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 w:hAnsi="仿宋" w:eastAsia="仿宋" w:cs="仿宋"/>
                <w:b/>
                <w:bCs/>
                <w:kern w:val="0"/>
                <w:sz w:val="24"/>
                <w:szCs w:val="24"/>
                <w:lang w:val="en-US" w:eastAsia="zh-CN" w:bidi="ar"/>
              </w:rPr>
            </w:pPr>
            <w:r>
              <w:rPr>
                <w:rFonts w:hint="eastAsia" w:ascii="仿宋" w:hAnsi="仿宋" w:eastAsia="仿宋" w:cs="仿宋"/>
                <w:kern w:val="0"/>
                <w:sz w:val="24"/>
                <w:szCs w:val="24"/>
                <w:lang w:val="en-US" w:eastAsia="zh-CN" w:bidi="ar"/>
              </w:rPr>
              <w:t>50台电脑、1套多媒体设备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t>7</w:t>
            </w:r>
          </w:p>
        </w:tc>
        <w:tc>
          <w:tcPr>
            <w:tcW w:w="1670"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kern w:val="0"/>
                <w:sz w:val="24"/>
                <w:szCs w:val="24"/>
                <w:highlight w:val="none"/>
                <w:lang w:bidi="ar"/>
              </w:rPr>
            </w:pPr>
            <w:r>
              <w:rPr>
                <w:rFonts w:hint="eastAsia" w:ascii="仿宋" w:hAnsi="仿宋" w:eastAsia="仿宋" w:cs="仿宋"/>
                <w:kern w:val="0"/>
                <w:sz w:val="24"/>
                <w:szCs w:val="24"/>
                <w:highlight w:val="none"/>
                <w:lang w:bidi="ar"/>
              </w:rPr>
              <w:t>会计信息化</w:t>
            </w:r>
          </w:p>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Cs/>
                <w:color w:val="000000" w:themeColor="text1"/>
                <w:kern w:val="2"/>
                <w:sz w:val="24"/>
                <w:szCs w:val="24"/>
                <w:highlight w:val="none"/>
                <w:vertAlign w:val="baseline"/>
                <w:lang w:val="en-US" w:eastAsia="zh-CN" w:bidi="ar-SA"/>
                <w14:textFill>
                  <w14:solidFill>
                    <w14:schemeClr w14:val="tx1"/>
                  </w14:solidFill>
                </w14:textFill>
              </w:rPr>
            </w:pPr>
            <w:r>
              <w:rPr>
                <w:rFonts w:hint="eastAsia" w:ascii="仿宋" w:hAnsi="仿宋" w:eastAsia="仿宋" w:cs="仿宋"/>
                <w:kern w:val="0"/>
                <w:sz w:val="24"/>
                <w:szCs w:val="24"/>
                <w:highlight w:val="none"/>
                <w:lang w:bidi="ar"/>
              </w:rPr>
              <w:t>实训室</w:t>
            </w:r>
            <w:r>
              <w:rPr>
                <w:rFonts w:hint="eastAsia" w:ascii="仿宋" w:hAnsi="仿宋" w:eastAsia="仿宋" w:cs="仿宋"/>
                <w:kern w:val="0"/>
                <w:sz w:val="24"/>
                <w:szCs w:val="24"/>
                <w:highlight w:val="none"/>
                <w:lang w:val="en-US" w:eastAsia="zh-CN" w:bidi="ar"/>
              </w:rPr>
              <w:t>3</w:t>
            </w:r>
          </w:p>
        </w:tc>
        <w:tc>
          <w:tcPr>
            <w:tcW w:w="3419"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 w:hAnsi="仿宋" w:eastAsia="仿宋" w:cs="仿宋"/>
                <w:b/>
                <w:bCs/>
                <w:kern w:val="0"/>
                <w:sz w:val="24"/>
                <w:szCs w:val="24"/>
                <w:lang w:val="en-US" w:eastAsia="zh-CN" w:bidi="ar"/>
              </w:rPr>
            </w:pPr>
            <w:r>
              <w:rPr>
                <w:rFonts w:hint="eastAsia" w:ascii="仿宋" w:hAnsi="仿宋" w:eastAsia="仿宋" w:cs="仿宋"/>
                <w:kern w:val="0"/>
                <w:sz w:val="24"/>
                <w:szCs w:val="24"/>
                <w:lang w:val="en-US" w:eastAsia="zh-CN" w:bidi="ar"/>
              </w:rPr>
              <w:t>利用会计教学软件进行企业财税业务理实一体化实训</w:t>
            </w:r>
          </w:p>
        </w:tc>
        <w:tc>
          <w:tcPr>
            <w:tcW w:w="2373"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 w:hAnsi="仿宋" w:eastAsia="仿宋" w:cs="仿宋"/>
                <w:b/>
                <w:bCs/>
                <w:kern w:val="0"/>
                <w:sz w:val="24"/>
                <w:szCs w:val="24"/>
                <w:lang w:val="en-US" w:eastAsia="zh-CN" w:bidi="ar"/>
              </w:rPr>
            </w:pPr>
            <w:r>
              <w:rPr>
                <w:rFonts w:hint="eastAsia" w:ascii="仿宋" w:hAnsi="仿宋" w:eastAsia="仿宋" w:cs="仿宋"/>
                <w:kern w:val="0"/>
                <w:sz w:val="24"/>
                <w:szCs w:val="24"/>
                <w:lang w:val="en-US" w:eastAsia="zh-CN" w:bidi="ar"/>
              </w:rPr>
              <w:t>60台电脑、1套多媒体设备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t>8</w:t>
            </w:r>
          </w:p>
        </w:tc>
        <w:tc>
          <w:tcPr>
            <w:tcW w:w="1670"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kern w:val="0"/>
                <w:sz w:val="24"/>
                <w:szCs w:val="24"/>
                <w:highlight w:val="none"/>
                <w:lang w:bidi="ar"/>
              </w:rPr>
            </w:pPr>
            <w:r>
              <w:rPr>
                <w:rFonts w:hint="eastAsia" w:ascii="仿宋" w:hAnsi="仿宋" w:eastAsia="仿宋" w:cs="仿宋"/>
                <w:kern w:val="0"/>
                <w:sz w:val="24"/>
                <w:szCs w:val="24"/>
                <w:highlight w:val="none"/>
                <w:lang w:bidi="ar"/>
              </w:rPr>
              <w:t>会计信息化</w:t>
            </w:r>
          </w:p>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Cs/>
                <w:color w:val="000000" w:themeColor="text1"/>
                <w:kern w:val="2"/>
                <w:sz w:val="24"/>
                <w:szCs w:val="24"/>
                <w:highlight w:val="none"/>
                <w:vertAlign w:val="baseline"/>
                <w:lang w:val="en-US" w:eastAsia="zh-CN" w:bidi="ar-SA"/>
                <w14:textFill>
                  <w14:solidFill>
                    <w14:schemeClr w14:val="tx1"/>
                  </w14:solidFill>
                </w14:textFill>
              </w:rPr>
            </w:pPr>
            <w:r>
              <w:rPr>
                <w:rFonts w:hint="eastAsia" w:ascii="仿宋" w:hAnsi="仿宋" w:eastAsia="仿宋" w:cs="仿宋"/>
                <w:kern w:val="0"/>
                <w:sz w:val="24"/>
                <w:szCs w:val="24"/>
                <w:highlight w:val="none"/>
                <w:lang w:bidi="ar"/>
              </w:rPr>
              <w:t>实训室</w:t>
            </w:r>
            <w:r>
              <w:rPr>
                <w:rFonts w:hint="eastAsia" w:ascii="仿宋" w:hAnsi="仿宋" w:eastAsia="仿宋" w:cs="仿宋"/>
                <w:kern w:val="0"/>
                <w:sz w:val="24"/>
                <w:szCs w:val="24"/>
                <w:highlight w:val="none"/>
                <w:lang w:val="en-US" w:eastAsia="zh-CN" w:bidi="ar"/>
              </w:rPr>
              <w:t>4</w:t>
            </w:r>
          </w:p>
        </w:tc>
        <w:tc>
          <w:tcPr>
            <w:tcW w:w="3419"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 w:hAnsi="仿宋" w:eastAsia="仿宋" w:cs="仿宋"/>
                <w:b/>
                <w:bCs/>
                <w:kern w:val="0"/>
                <w:sz w:val="24"/>
                <w:szCs w:val="24"/>
                <w:lang w:val="en-US" w:eastAsia="zh-CN" w:bidi="ar"/>
              </w:rPr>
            </w:pPr>
            <w:r>
              <w:rPr>
                <w:rFonts w:hint="eastAsia" w:ascii="仿宋" w:hAnsi="仿宋" w:eastAsia="仿宋" w:cs="仿宋"/>
                <w:kern w:val="0"/>
                <w:sz w:val="24"/>
                <w:szCs w:val="24"/>
                <w:lang w:val="en-US" w:eastAsia="zh-CN" w:bidi="ar"/>
              </w:rPr>
              <w:t>利用会计教学软件进行企业财税业务理实一体化实训</w:t>
            </w:r>
          </w:p>
        </w:tc>
        <w:tc>
          <w:tcPr>
            <w:tcW w:w="2373"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 w:hAnsi="仿宋" w:eastAsia="仿宋" w:cs="仿宋"/>
                <w:b/>
                <w:bCs/>
                <w:kern w:val="0"/>
                <w:sz w:val="24"/>
                <w:szCs w:val="24"/>
                <w:lang w:val="en-US" w:eastAsia="zh-CN" w:bidi="ar"/>
              </w:rPr>
            </w:pPr>
            <w:r>
              <w:rPr>
                <w:rFonts w:hint="eastAsia" w:ascii="仿宋" w:hAnsi="仿宋" w:eastAsia="仿宋" w:cs="仿宋"/>
                <w:kern w:val="0"/>
                <w:sz w:val="24"/>
                <w:szCs w:val="24"/>
                <w:lang w:val="en-US" w:eastAsia="zh-CN" w:bidi="ar"/>
              </w:rPr>
              <w:t>50台电脑、1套多媒体设备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Cs/>
                <w:color w:val="000000" w:themeColor="text1"/>
                <w:sz w:val="24"/>
                <w:szCs w:val="24"/>
                <w:vertAlign w:val="baseline"/>
                <w:lang w:val="en-US" w:eastAsia="zh-CN"/>
                <w14:textFill>
                  <w14:solidFill>
                    <w14:schemeClr w14:val="tx1"/>
                  </w14:solidFill>
                </w14:textFill>
              </w:rPr>
            </w:pPr>
            <w:r>
              <w:rPr>
                <w:rFonts w:hint="eastAsia" w:ascii="仿宋" w:hAnsi="仿宋" w:eastAsia="仿宋" w:cs="仿宋"/>
                <w:bCs/>
                <w:color w:val="000000" w:themeColor="text1"/>
                <w:sz w:val="24"/>
                <w:szCs w:val="24"/>
                <w:vertAlign w:val="baseline"/>
                <w:lang w:val="en-US" w:eastAsia="zh-CN"/>
                <w14:textFill>
                  <w14:solidFill>
                    <w14:schemeClr w14:val="tx1"/>
                  </w14:solidFill>
                </w14:textFill>
              </w:rPr>
              <w:t>9</w:t>
            </w:r>
          </w:p>
        </w:tc>
        <w:tc>
          <w:tcPr>
            <w:tcW w:w="1670"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Cs/>
                <w:color w:val="000000" w:themeColor="text1"/>
                <w:sz w:val="24"/>
                <w:szCs w:val="24"/>
                <w:vertAlign w:val="baseline"/>
                <w14:textFill>
                  <w14:solidFill>
                    <w14:schemeClr w14:val="tx1"/>
                  </w14:solidFill>
                </w14:textFill>
              </w:rPr>
            </w:pPr>
            <w:r>
              <w:rPr>
                <w:rFonts w:hint="eastAsia" w:ascii="仿宋" w:hAnsi="仿宋" w:eastAsia="仿宋" w:cs="仿宋"/>
                <w:kern w:val="0"/>
                <w:sz w:val="24"/>
                <w:szCs w:val="24"/>
                <w:lang w:val="en-US" w:eastAsia="zh-CN" w:bidi="ar"/>
              </w:rPr>
              <w:t>虚拟商业社会环境</w:t>
            </w:r>
            <w:r>
              <w:rPr>
                <w:rFonts w:hint="eastAsia" w:ascii="仿宋" w:hAnsi="仿宋" w:eastAsia="仿宋" w:cs="仿宋"/>
                <w:kern w:val="0"/>
                <w:sz w:val="24"/>
                <w:szCs w:val="24"/>
                <w:lang w:bidi="ar"/>
              </w:rPr>
              <w:t>实训室</w:t>
            </w:r>
          </w:p>
        </w:tc>
        <w:tc>
          <w:tcPr>
            <w:tcW w:w="3419"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 w:hAnsi="仿宋" w:eastAsia="仿宋" w:cs="仿宋"/>
                <w:kern w:val="2"/>
                <w:sz w:val="24"/>
                <w:szCs w:val="24"/>
                <w:lang w:val="en-US" w:eastAsia="zh-CN" w:bidi="ar-SA"/>
              </w:rPr>
            </w:pPr>
            <w:r>
              <w:rPr>
                <w:rFonts w:hint="eastAsia" w:ascii="仿宋" w:hAnsi="仿宋" w:eastAsia="仿宋" w:cs="仿宋"/>
                <w:kern w:val="0"/>
                <w:sz w:val="24"/>
                <w:szCs w:val="24"/>
                <w:lang w:val="en-US" w:eastAsia="zh-CN" w:bidi="ar"/>
              </w:rPr>
              <w:t>利用虚拟商业社会环境模拟实训平台进行企业经营</w:t>
            </w:r>
            <w:r>
              <w:rPr>
                <w:rFonts w:hint="eastAsia" w:ascii="仿宋" w:hAnsi="仿宋" w:eastAsia="仿宋" w:cs="仿宋"/>
                <w:kern w:val="0"/>
                <w:sz w:val="24"/>
                <w:szCs w:val="24"/>
                <w:lang w:bidi="ar"/>
              </w:rPr>
              <w:t>综合实训</w:t>
            </w:r>
          </w:p>
        </w:tc>
        <w:tc>
          <w:tcPr>
            <w:tcW w:w="2373"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 w:hAnsi="仿宋" w:eastAsia="仿宋" w:cs="仿宋"/>
                <w:kern w:val="2"/>
                <w:sz w:val="24"/>
                <w:szCs w:val="24"/>
                <w:lang w:val="en-US" w:eastAsia="zh-CN" w:bidi="ar-SA"/>
              </w:rPr>
            </w:pPr>
            <w:r>
              <w:rPr>
                <w:rFonts w:hint="eastAsia" w:ascii="仿宋" w:hAnsi="仿宋" w:eastAsia="仿宋" w:cs="仿宋"/>
                <w:kern w:val="0"/>
                <w:sz w:val="24"/>
                <w:szCs w:val="24"/>
                <w:lang w:val="en-US" w:eastAsia="zh-CN" w:bidi="ar"/>
              </w:rPr>
              <w:t>90台电脑、1套多媒体设备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Cs/>
                <w:color w:val="000000" w:themeColor="text1"/>
                <w:sz w:val="24"/>
                <w:szCs w:val="24"/>
                <w:vertAlign w:val="baseline"/>
                <w:lang w:val="en-US" w:eastAsia="zh-CN"/>
                <w14:textFill>
                  <w14:solidFill>
                    <w14:schemeClr w14:val="tx1"/>
                  </w14:solidFill>
                </w14:textFill>
              </w:rPr>
            </w:pPr>
            <w:r>
              <w:rPr>
                <w:rFonts w:hint="eastAsia" w:ascii="仿宋" w:hAnsi="仿宋" w:eastAsia="仿宋" w:cs="仿宋"/>
                <w:bCs/>
                <w:color w:val="000000" w:themeColor="text1"/>
                <w:sz w:val="24"/>
                <w:szCs w:val="24"/>
                <w:vertAlign w:val="baseline"/>
                <w:lang w:val="en-US" w:eastAsia="zh-CN"/>
                <w14:textFill>
                  <w14:solidFill>
                    <w14:schemeClr w14:val="tx1"/>
                  </w14:solidFill>
                </w14:textFill>
              </w:rPr>
              <w:t>10</w:t>
            </w:r>
          </w:p>
        </w:tc>
        <w:tc>
          <w:tcPr>
            <w:tcW w:w="1670"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ERP沙盘</w:t>
            </w:r>
          </w:p>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Cs/>
                <w:color w:val="000000" w:themeColor="text1"/>
                <w:sz w:val="24"/>
                <w:szCs w:val="24"/>
                <w:vertAlign w:val="baseline"/>
                <w14:textFill>
                  <w14:solidFill>
                    <w14:schemeClr w14:val="tx1"/>
                  </w14:solidFill>
                </w14:textFill>
              </w:rPr>
            </w:pPr>
            <w:r>
              <w:rPr>
                <w:rFonts w:hint="eastAsia" w:ascii="仿宋" w:hAnsi="仿宋" w:eastAsia="仿宋" w:cs="仿宋"/>
                <w:kern w:val="0"/>
                <w:sz w:val="24"/>
                <w:szCs w:val="24"/>
                <w:lang w:bidi="ar"/>
              </w:rPr>
              <w:t>实训室</w:t>
            </w:r>
          </w:p>
        </w:tc>
        <w:tc>
          <w:tcPr>
            <w:tcW w:w="3419"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 w:hAnsi="仿宋" w:eastAsia="仿宋" w:cs="仿宋"/>
                <w:kern w:val="2"/>
                <w:sz w:val="24"/>
                <w:szCs w:val="24"/>
                <w:lang w:val="en-US" w:eastAsia="zh-CN" w:bidi="ar-SA"/>
              </w:rPr>
            </w:pPr>
            <w:r>
              <w:rPr>
                <w:rFonts w:hint="eastAsia" w:ascii="仿宋" w:hAnsi="仿宋" w:eastAsia="仿宋" w:cs="仿宋"/>
                <w:kern w:val="0"/>
                <w:sz w:val="24"/>
                <w:szCs w:val="24"/>
                <w:lang w:val="en-US" w:eastAsia="zh-CN" w:bidi="ar"/>
              </w:rPr>
              <w:t>利用</w:t>
            </w:r>
            <w:r>
              <w:rPr>
                <w:rFonts w:hint="eastAsia" w:ascii="仿宋_GB2312" w:hAnsi="黑体" w:eastAsia="仿宋_GB2312"/>
                <w:sz w:val="24"/>
              </w:rPr>
              <w:t>电子沙盘</w:t>
            </w:r>
            <w:r>
              <w:rPr>
                <w:rFonts w:hint="eastAsia" w:ascii="仿宋_GB2312" w:hAnsi="黑体" w:eastAsia="仿宋_GB2312"/>
                <w:sz w:val="24"/>
                <w:lang w:val="en-US" w:eastAsia="zh-CN"/>
              </w:rPr>
              <w:t>模拟操作系统</w:t>
            </w:r>
            <w:r>
              <w:rPr>
                <w:rFonts w:hint="eastAsia" w:ascii="仿宋" w:hAnsi="仿宋" w:eastAsia="仿宋" w:cs="仿宋"/>
                <w:kern w:val="0"/>
                <w:sz w:val="24"/>
                <w:szCs w:val="24"/>
                <w:lang w:val="en-US" w:eastAsia="zh-CN" w:bidi="ar"/>
              </w:rPr>
              <w:t>进行ERP</w:t>
            </w:r>
            <w:r>
              <w:rPr>
                <w:rFonts w:hint="eastAsia" w:ascii="仿宋" w:hAnsi="仿宋" w:eastAsia="仿宋" w:cs="仿宋"/>
                <w:kern w:val="0"/>
                <w:sz w:val="24"/>
                <w:szCs w:val="24"/>
                <w:lang w:bidi="ar"/>
              </w:rPr>
              <w:t>企业经营实训</w:t>
            </w:r>
          </w:p>
        </w:tc>
        <w:tc>
          <w:tcPr>
            <w:tcW w:w="2373"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 w:hAnsi="仿宋" w:eastAsia="仿宋" w:cs="仿宋"/>
                <w:kern w:val="2"/>
                <w:sz w:val="24"/>
                <w:szCs w:val="24"/>
                <w:lang w:val="en-US" w:eastAsia="zh-CN" w:bidi="ar-SA"/>
              </w:rPr>
            </w:pPr>
            <w:r>
              <w:rPr>
                <w:rFonts w:hint="eastAsia" w:ascii="仿宋" w:hAnsi="仿宋" w:eastAsia="仿宋" w:cs="仿宋"/>
                <w:kern w:val="0"/>
                <w:sz w:val="24"/>
                <w:szCs w:val="24"/>
                <w:lang w:val="en-US" w:eastAsia="zh-CN" w:bidi="ar"/>
              </w:rPr>
              <w:t>16台电脑、1套多媒体设备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Cs/>
                <w:color w:val="000000" w:themeColor="text1"/>
                <w:sz w:val="24"/>
                <w:szCs w:val="24"/>
                <w:vertAlign w:val="baseline"/>
                <w:lang w:val="en-US" w:eastAsia="zh-CN"/>
                <w14:textFill>
                  <w14:solidFill>
                    <w14:schemeClr w14:val="tx1"/>
                  </w14:solidFill>
                </w14:textFill>
              </w:rPr>
            </w:pPr>
            <w:r>
              <w:rPr>
                <w:rFonts w:hint="eastAsia" w:ascii="仿宋" w:hAnsi="仿宋" w:eastAsia="仿宋" w:cs="仿宋"/>
                <w:bCs/>
                <w:color w:val="000000" w:themeColor="text1"/>
                <w:sz w:val="24"/>
                <w:szCs w:val="24"/>
                <w:vertAlign w:val="baseline"/>
                <w:lang w:val="en-US" w:eastAsia="zh-CN"/>
                <w14:textFill>
                  <w14:solidFill>
                    <w14:schemeClr w14:val="tx1"/>
                  </w14:solidFill>
                </w14:textFill>
              </w:rPr>
              <w:t>11</w:t>
            </w:r>
          </w:p>
        </w:tc>
        <w:tc>
          <w:tcPr>
            <w:tcW w:w="1670"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财经技能</w:t>
            </w:r>
          </w:p>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Cs/>
                <w:color w:val="000000" w:themeColor="text1"/>
                <w:sz w:val="24"/>
                <w:szCs w:val="24"/>
                <w:vertAlign w:val="baseline"/>
                <w14:textFill>
                  <w14:solidFill>
                    <w14:schemeClr w14:val="tx1"/>
                  </w14:solidFill>
                </w14:textFill>
              </w:rPr>
            </w:pPr>
            <w:r>
              <w:rPr>
                <w:rFonts w:hint="eastAsia" w:ascii="仿宋" w:hAnsi="仿宋" w:eastAsia="仿宋" w:cs="仿宋"/>
                <w:kern w:val="0"/>
                <w:sz w:val="24"/>
                <w:szCs w:val="24"/>
                <w:lang w:bidi="ar"/>
              </w:rPr>
              <w:t>实训室</w:t>
            </w:r>
          </w:p>
        </w:tc>
        <w:tc>
          <w:tcPr>
            <w:tcW w:w="3419"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 w:hAnsi="仿宋" w:eastAsia="仿宋" w:cs="仿宋"/>
                <w:kern w:val="2"/>
                <w:sz w:val="24"/>
                <w:szCs w:val="24"/>
                <w:lang w:val="en-US" w:eastAsia="zh-CN" w:bidi="ar-SA"/>
              </w:rPr>
            </w:pPr>
            <w:r>
              <w:rPr>
                <w:rFonts w:hint="eastAsia" w:ascii="仿宋" w:hAnsi="仿宋" w:eastAsia="仿宋" w:cs="仿宋"/>
                <w:kern w:val="0"/>
                <w:sz w:val="24"/>
                <w:szCs w:val="24"/>
                <w:lang w:bidi="ar"/>
              </w:rPr>
              <w:t>满足点钞、传票翻打、珠算、计算器等财经技能学习需要</w:t>
            </w:r>
          </w:p>
        </w:tc>
        <w:tc>
          <w:tcPr>
            <w:tcW w:w="2373"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 w:hAnsi="仿宋" w:eastAsia="仿宋" w:cs="仿宋"/>
                <w:kern w:val="2"/>
                <w:sz w:val="24"/>
                <w:szCs w:val="24"/>
                <w:lang w:val="en-US" w:eastAsia="zh-CN" w:bidi="ar-SA"/>
              </w:rPr>
            </w:pPr>
            <w:r>
              <w:rPr>
                <w:rFonts w:hint="eastAsia" w:ascii="仿宋" w:hAnsi="仿宋" w:eastAsia="仿宋" w:cs="仿宋"/>
                <w:kern w:val="0"/>
                <w:sz w:val="24"/>
                <w:szCs w:val="24"/>
                <w:lang w:val="en-US" w:eastAsia="zh-CN" w:bidi="ar"/>
              </w:rPr>
              <w:t>50台爱丁派、1台验钞机、50个计算器、50个算盘、1套多媒体设备、若干钞纸和传票</w:t>
            </w:r>
          </w:p>
        </w:tc>
      </w:tr>
    </w:tbl>
    <w:p>
      <w:pPr>
        <w:spacing w:line="560" w:lineRule="exact"/>
        <w:ind w:firstLine="570"/>
        <w:jc w:val="left"/>
        <w:outlineLvl w:val="2"/>
        <w:rPr>
          <w:rFonts w:hint="eastAsia" w:ascii="仿宋" w:hAnsi="仿宋" w:eastAsia="仿宋" w:cs="仿宋"/>
          <w:b/>
          <w:bCs w:val="0"/>
          <w:color w:val="000000" w:themeColor="text1"/>
          <w:sz w:val="32"/>
          <w:szCs w:val="32"/>
          <w14:textFill>
            <w14:solidFill>
              <w14:schemeClr w14:val="tx1"/>
            </w14:solidFill>
          </w14:textFill>
        </w:rPr>
      </w:pPr>
      <w:bookmarkStart w:id="73" w:name="_Toc18276"/>
      <w:bookmarkStart w:id="74" w:name="_Toc8214"/>
      <w:r>
        <w:rPr>
          <w:rFonts w:hint="eastAsia" w:ascii="仿宋" w:hAnsi="仿宋" w:eastAsia="仿宋" w:cs="仿宋"/>
          <w:b/>
          <w:bCs w:val="0"/>
          <w:color w:val="000000" w:themeColor="text1"/>
          <w:sz w:val="32"/>
          <w:szCs w:val="32"/>
          <w14:textFill>
            <w14:solidFill>
              <w14:schemeClr w14:val="tx1"/>
            </w14:solidFill>
          </w14:textFill>
        </w:rPr>
        <w:t>3.校外实训/实习基地基本要求</w:t>
      </w:r>
      <w:bookmarkEnd w:id="73"/>
      <w:bookmarkEnd w:id="74"/>
    </w:p>
    <w:p>
      <w:pPr>
        <w:spacing w:line="560" w:lineRule="exact"/>
        <w:ind w:firstLine="627" w:firstLineChars="196"/>
        <w:jc w:val="left"/>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校外实训/实习基地是师生从事实践教学、社会实践、科研活动的重要场所，是培养学生综合素质和社会实践能力的重要课堂，是校企合作的重要途径。校外实训基地应根据会计岗位实习要求，依托企业财务部门、会计师事务所等机构建立会计岗位工作实习基地。</w:t>
      </w:r>
    </w:p>
    <w:p>
      <w:pPr>
        <w:spacing w:line="560" w:lineRule="exact"/>
        <w:ind w:firstLine="643" w:firstLineChars="200"/>
        <w:jc w:val="left"/>
        <w:outlineLvl w:val="1"/>
        <w:rPr>
          <w:rFonts w:hint="eastAsia" w:ascii="楷体" w:hAnsi="楷体" w:eastAsia="楷体" w:cs="楷体"/>
          <w:b/>
          <w:bCs/>
          <w:color w:val="000000" w:themeColor="text1"/>
          <w:sz w:val="32"/>
          <w:szCs w:val="32"/>
          <w14:textFill>
            <w14:solidFill>
              <w14:schemeClr w14:val="tx1"/>
            </w14:solidFill>
          </w14:textFill>
        </w:rPr>
      </w:pPr>
      <w:bookmarkStart w:id="75" w:name="_Toc26013"/>
      <w:bookmarkStart w:id="76" w:name="_Toc3812"/>
      <w:r>
        <w:rPr>
          <w:rFonts w:hint="eastAsia" w:ascii="楷体" w:hAnsi="楷体" w:eastAsia="楷体" w:cs="楷体"/>
          <w:b/>
          <w:bCs/>
          <w:color w:val="000000" w:themeColor="text1"/>
          <w:sz w:val="32"/>
          <w:szCs w:val="32"/>
          <w14:textFill>
            <w14:solidFill>
              <w14:schemeClr w14:val="tx1"/>
            </w14:solidFill>
          </w14:textFill>
        </w:rPr>
        <w:t>(三) 教学资源</w:t>
      </w:r>
      <w:bookmarkEnd w:id="75"/>
      <w:bookmarkEnd w:id="76"/>
    </w:p>
    <w:p>
      <w:pPr>
        <w:spacing w:line="560" w:lineRule="exact"/>
        <w:ind w:firstLine="570"/>
        <w:jc w:val="left"/>
        <w:outlineLvl w:val="2"/>
        <w:rPr>
          <w:rFonts w:hint="eastAsia" w:ascii="仿宋" w:hAnsi="仿宋" w:eastAsia="仿宋" w:cs="仿宋"/>
          <w:b/>
          <w:bCs w:val="0"/>
          <w:color w:val="000000" w:themeColor="text1"/>
          <w:sz w:val="32"/>
          <w:szCs w:val="32"/>
          <w14:textFill>
            <w14:solidFill>
              <w14:schemeClr w14:val="tx1"/>
            </w14:solidFill>
          </w14:textFill>
        </w:rPr>
      </w:pPr>
      <w:bookmarkStart w:id="77" w:name="_Toc4480"/>
      <w:bookmarkStart w:id="78" w:name="_Toc25502"/>
      <w:r>
        <w:rPr>
          <w:rFonts w:hint="eastAsia" w:ascii="仿宋" w:hAnsi="仿宋" w:eastAsia="仿宋" w:cs="仿宋"/>
          <w:b/>
          <w:bCs w:val="0"/>
          <w:color w:val="000000" w:themeColor="text1"/>
          <w:sz w:val="32"/>
          <w:szCs w:val="32"/>
          <w14:textFill>
            <w14:solidFill>
              <w14:schemeClr w14:val="tx1"/>
            </w14:solidFill>
          </w14:textFill>
        </w:rPr>
        <w:t>1.教材选用基本要求</w:t>
      </w:r>
      <w:bookmarkEnd w:id="77"/>
      <w:bookmarkEnd w:id="78"/>
    </w:p>
    <w:p>
      <w:pPr>
        <w:pStyle w:val="3"/>
        <w:spacing w:after="0" w:line="560" w:lineRule="exact"/>
        <w:ind w:left="136" w:right="233" w:firstLine="640" w:firstLineChars="200"/>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教材应符合《职业院校教材管理办法》等文件的规定和要求，</w:t>
      </w:r>
      <w:r>
        <w:rPr>
          <w:rFonts w:hint="eastAsia" w:ascii="仿宋" w:hAnsi="仿宋" w:eastAsia="仿宋" w:cs="仿宋"/>
          <w:bCs/>
          <w:color w:val="000000" w:themeColor="text1"/>
          <w:sz w:val="32"/>
          <w:szCs w:val="32"/>
          <w:lang w:val="en-US" w:eastAsia="zh-CN"/>
          <w14:textFill>
            <w14:solidFill>
              <w14:schemeClr w14:val="tx1"/>
            </w14:solidFill>
          </w14:textFill>
        </w:rPr>
        <w:t>优先选用</w:t>
      </w:r>
      <w:r>
        <w:rPr>
          <w:rFonts w:hint="eastAsia" w:ascii="仿宋" w:hAnsi="仿宋" w:eastAsia="仿宋" w:cs="仿宋"/>
          <w:spacing w:val="-2"/>
          <w:sz w:val="32"/>
          <w:szCs w:val="32"/>
        </w:rPr>
        <w:t>国家规划教材</w:t>
      </w:r>
      <w:r>
        <w:rPr>
          <w:rFonts w:hint="eastAsia" w:ascii="仿宋" w:hAnsi="仿宋" w:eastAsia="仿宋" w:cs="仿宋"/>
          <w:spacing w:val="-2"/>
          <w:sz w:val="32"/>
          <w:szCs w:val="32"/>
          <w:lang w:eastAsia="zh-CN"/>
        </w:rPr>
        <w:t>，</w:t>
      </w:r>
      <w:r>
        <w:rPr>
          <w:rFonts w:hint="eastAsia" w:ascii="仿宋" w:hAnsi="仿宋" w:eastAsia="仿宋" w:cs="仿宋"/>
          <w:bCs/>
          <w:color w:val="000000" w:themeColor="text1"/>
          <w:sz w:val="32"/>
          <w:szCs w:val="32"/>
          <w14:textFill>
            <w14:solidFill>
              <w14:schemeClr w14:val="tx1"/>
            </w14:solidFill>
          </w14:textFill>
        </w:rPr>
        <w:t>探索使用新型活页式</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14:textFill>
            <w14:solidFill>
              <w14:schemeClr w14:val="tx1"/>
            </w14:solidFill>
          </w14:textFill>
        </w:rPr>
        <w:t>工作手册式教材并配套信息化资源。</w:t>
      </w:r>
    </w:p>
    <w:p>
      <w:pPr>
        <w:spacing w:line="560" w:lineRule="exact"/>
        <w:ind w:firstLine="643" w:firstLineChars="200"/>
        <w:jc w:val="left"/>
        <w:outlineLvl w:val="2"/>
        <w:rPr>
          <w:rFonts w:hint="eastAsia" w:ascii="仿宋" w:hAnsi="仿宋" w:eastAsia="仿宋" w:cs="仿宋"/>
          <w:b/>
          <w:bCs w:val="0"/>
          <w:color w:val="000000" w:themeColor="text1"/>
          <w:sz w:val="32"/>
          <w:szCs w:val="32"/>
          <w14:textFill>
            <w14:solidFill>
              <w14:schemeClr w14:val="tx1"/>
            </w14:solidFill>
          </w14:textFill>
        </w:rPr>
      </w:pPr>
      <w:bookmarkStart w:id="79" w:name="_Toc12657"/>
      <w:bookmarkStart w:id="80" w:name="_Toc18848"/>
      <w:r>
        <w:rPr>
          <w:rFonts w:hint="eastAsia" w:ascii="仿宋" w:hAnsi="仿宋" w:eastAsia="仿宋" w:cs="仿宋"/>
          <w:b/>
          <w:bCs w:val="0"/>
          <w:color w:val="000000" w:themeColor="text1"/>
          <w:sz w:val="32"/>
          <w:szCs w:val="32"/>
          <w14:textFill>
            <w14:solidFill>
              <w14:schemeClr w14:val="tx1"/>
            </w14:solidFill>
          </w14:textFill>
        </w:rPr>
        <w:t>2.图书文献配备基本要求</w:t>
      </w:r>
      <w:bookmarkEnd w:id="79"/>
      <w:bookmarkEnd w:id="80"/>
    </w:p>
    <w:p>
      <w:pPr>
        <w:spacing w:line="560" w:lineRule="exact"/>
        <w:ind w:firstLine="570"/>
        <w:jc w:val="left"/>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图书文献配备能满足人才培养、专业建设、教科研等工作的需要，方便师生查询、借阅</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14:textFill>
            <w14:solidFill>
              <w14:schemeClr w14:val="tx1"/>
            </w14:solidFill>
          </w14:textFill>
        </w:rPr>
        <w:t>专业类图书文献主要包括</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14:textFill>
            <w14:solidFill>
              <w14:schemeClr w14:val="tx1"/>
            </w14:solidFill>
          </w14:textFill>
        </w:rPr>
        <w:t>有关</w:t>
      </w:r>
      <w:r>
        <w:rPr>
          <w:rFonts w:hint="eastAsia" w:ascii="仿宋" w:hAnsi="仿宋" w:eastAsia="仿宋" w:cs="仿宋"/>
          <w:bCs/>
          <w:color w:val="000000" w:themeColor="text1"/>
          <w:sz w:val="32"/>
          <w:szCs w:val="32"/>
          <w:lang w:val="en-US" w:eastAsia="zh-CN"/>
          <w14:textFill>
            <w14:solidFill>
              <w14:schemeClr w14:val="tx1"/>
            </w14:solidFill>
          </w14:textFill>
        </w:rPr>
        <w:t>财税</w:t>
      </w:r>
      <w:r>
        <w:rPr>
          <w:rFonts w:hint="eastAsia" w:ascii="仿宋" w:hAnsi="仿宋" w:eastAsia="仿宋" w:cs="仿宋"/>
          <w:bCs/>
          <w:color w:val="000000" w:themeColor="text1"/>
          <w:sz w:val="32"/>
          <w:szCs w:val="32"/>
          <w14:textFill>
            <w14:solidFill>
              <w14:schemeClr w14:val="tx1"/>
            </w14:solidFill>
          </w14:textFill>
        </w:rPr>
        <w:t>专业理论、技术、方法、思维以及实务操作类图书等。</w:t>
      </w:r>
    </w:p>
    <w:p>
      <w:pPr>
        <w:spacing w:line="560" w:lineRule="exact"/>
        <w:ind w:firstLine="570"/>
        <w:jc w:val="left"/>
        <w:outlineLvl w:val="2"/>
        <w:rPr>
          <w:rFonts w:hint="eastAsia" w:ascii="仿宋" w:hAnsi="仿宋" w:eastAsia="仿宋" w:cs="仿宋"/>
          <w:b/>
          <w:bCs w:val="0"/>
          <w:color w:val="000000" w:themeColor="text1"/>
          <w:sz w:val="32"/>
          <w:szCs w:val="32"/>
          <w14:textFill>
            <w14:solidFill>
              <w14:schemeClr w14:val="tx1"/>
            </w14:solidFill>
          </w14:textFill>
        </w:rPr>
      </w:pPr>
      <w:bookmarkStart w:id="81" w:name="_Toc5541"/>
      <w:bookmarkStart w:id="82" w:name="_Toc16280"/>
      <w:r>
        <w:rPr>
          <w:rFonts w:hint="eastAsia" w:ascii="仿宋" w:hAnsi="仿宋" w:eastAsia="仿宋" w:cs="仿宋"/>
          <w:b/>
          <w:bCs w:val="0"/>
          <w:color w:val="000000" w:themeColor="text1"/>
          <w:sz w:val="32"/>
          <w:szCs w:val="32"/>
          <w14:textFill>
            <w14:solidFill>
              <w14:schemeClr w14:val="tx1"/>
            </w14:solidFill>
          </w14:textFill>
        </w:rPr>
        <w:t>3.数字教学资源配置基本要求</w:t>
      </w:r>
      <w:bookmarkEnd w:id="81"/>
      <w:bookmarkEnd w:id="82"/>
    </w:p>
    <w:p>
      <w:pPr>
        <w:spacing w:line="560" w:lineRule="exact"/>
        <w:ind w:firstLine="570"/>
        <w:jc w:val="left"/>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建设、配备与本专业有关的音视频素材、教学课件、数字化教学案例库、虚拟仿真软件、数字教材等专业教学资源库，要求种类丰富、形式多样、使用便捷、动态更新，能满足教学要求。</w:t>
      </w:r>
    </w:p>
    <w:p>
      <w:pPr>
        <w:spacing w:line="560" w:lineRule="exact"/>
        <w:ind w:firstLine="643" w:firstLineChars="200"/>
        <w:jc w:val="left"/>
        <w:outlineLvl w:val="1"/>
        <w:rPr>
          <w:rFonts w:hint="eastAsia" w:ascii="楷体" w:hAnsi="楷体" w:eastAsia="楷体" w:cs="楷体"/>
          <w:b/>
          <w:bCs/>
          <w:color w:val="000000" w:themeColor="text1"/>
          <w:sz w:val="32"/>
          <w:szCs w:val="32"/>
          <w14:textFill>
            <w14:solidFill>
              <w14:schemeClr w14:val="tx1"/>
            </w14:solidFill>
          </w14:textFill>
        </w:rPr>
      </w:pPr>
      <w:bookmarkStart w:id="83" w:name="_Toc10990"/>
      <w:bookmarkStart w:id="84" w:name="_Toc19869"/>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楷体" w:hAnsi="楷体" w:eastAsia="楷体" w:cs="楷体"/>
          <w:b/>
          <w:bCs/>
          <w:color w:val="000000" w:themeColor="text1"/>
          <w:sz w:val="32"/>
          <w:szCs w:val="32"/>
          <w:lang w:val="en-US" w:eastAsia="zh-CN"/>
          <w14:textFill>
            <w14:solidFill>
              <w14:schemeClr w14:val="tx1"/>
            </w14:solidFill>
          </w14:textFill>
        </w:rPr>
        <w:t>四</w:t>
      </w:r>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楷体" w:hAnsi="楷体" w:eastAsia="楷体" w:cs="楷体"/>
          <w:b/>
          <w:bCs/>
          <w:color w:val="000000" w:themeColor="text1"/>
          <w:sz w:val="32"/>
          <w:szCs w:val="32"/>
          <w14:textFill>
            <w14:solidFill>
              <w14:schemeClr w14:val="tx1"/>
            </w14:solidFill>
          </w14:textFill>
        </w:rPr>
        <w:t>教学方法</w:t>
      </w:r>
      <w:bookmarkEnd w:id="83"/>
      <w:bookmarkEnd w:id="84"/>
    </w:p>
    <w:p>
      <w:pPr>
        <w:spacing w:line="560" w:lineRule="exact"/>
        <w:ind w:firstLine="595" w:firstLineChars="196"/>
        <w:jc w:val="left"/>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spacing w:val="-8"/>
          <w:sz w:val="32"/>
          <w:szCs w:val="32"/>
        </w:rPr>
        <w:t>突出职业能力培养，普及项目教学、案例教学、情境教学、模块化教学等教学方式，广泛运用启发式、探究式、讨论式、参与式等教学方法，推广翻转课堂、混合式教学、理实一体教学等新型教学模式，推动课堂教学革命。加强课堂教学管理，规范教学秩序，打造优质课堂。</w:t>
      </w:r>
    </w:p>
    <w:p>
      <w:pPr>
        <w:spacing w:line="560" w:lineRule="exact"/>
        <w:ind w:firstLine="570"/>
        <w:jc w:val="left"/>
        <w:outlineLvl w:val="2"/>
        <w:rPr>
          <w:rFonts w:hint="eastAsia" w:ascii="仿宋" w:hAnsi="仿宋" w:eastAsia="仿宋" w:cs="仿宋"/>
          <w:b/>
          <w:bCs w:val="0"/>
          <w:color w:val="000000" w:themeColor="text1"/>
          <w:sz w:val="32"/>
          <w:szCs w:val="32"/>
          <w14:textFill>
            <w14:solidFill>
              <w14:schemeClr w14:val="tx1"/>
            </w14:solidFill>
          </w14:textFill>
        </w:rPr>
      </w:pPr>
      <w:bookmarkStart w:id="85" w:name="_Toc13043"/>
      <w:bookmarkStart w:id="86" w:name="_Toc25745"/>
      <w:r>
        <w:rPr>
          <w:rFonts w:hint="eastAsia" w:ascii="仿宋" w:hAnsi="仿宋" w:eastAsia="仿宋" w:cs="仿宋"/>
          <w:b/>
          <w:bCs w:val="0"/>
          <w:color w:val="000000" w:themeColor="text1"/>
          <w:sz w:val="32"/>
          <w:szCs w:val="32"/>
          <w14:textFill>
            <w14:solidFill>
              <w14:schemeClr w14:val="tx1"/>
            </w14:solidFill>
          </w14:textFill>
        </w:rPr>
        <w:t>1.项目教学法</w:t>
      </w:r>
      <w:bookmarkEnd w:id="85"/>
      <w:bookmarkEnd w:id="86"/>
    </w:p>
    <w:p>
      <w:pPr>
        <w:spacing w:line="560" w:lineRule="exact"/>
        <w:ind w:firstLine="570"/>
        <w:jc w:val="left"/>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项目教学法是以工作任务为依据设计教学项目，以学生为活动主体实施项目的教学方法，也就是将教学内容融</w:t>
      </w:r>
      <w:r>
        <w:rPr>
          <w:rFonts w:hint="eastAsia" w:ascii="仿宋" w:hAnsi="仿宋" w:eastAsia="仿宋" w:cs="仿宋"/>
          <w:bCs/>
          <w:color w:val="000000" w:themeColor="text1"/>
          <w:sz w:val="32"/>
          <w:szCs w:val="32"/>
          <w:lang w:val="en-US" w:eastAsia="zh-CN"/>
          <w14:textFill>
            <w14:solidFill>
              <w14:schemeClr w14:val="tx1"/>
            </w14:solidFill>
          </w14:textFill>
        </w:rPr>
        <w:t>入</w:t>
      </w:r>
      <w:r>
        <w:rPr>
          <w:rFonts w:hint="eastAsia" w:ascii="仿宋" w:hAnsi="仿宋" w:eastAsia="仿宋" w:cs="仿宋"/>
          <w:bCs/>
          <w:color w:val="000000" w:themeColor="text1"/>
          <w:sz w:val="32"/>
          <w:szCs w:val="32"/>
          <w14:textFill>
            <w14:solidFill>
              <w14:schemeClr w14:val="tx1"/>
            </w14:solidFill>
          </w14:textFill>
        </w:rPr>
        <w:t>项目实施过程的一种教学方法。项目教学法是以学生为中心的教学模式，这种教学模式中学生是主动的学习者，教师是学生学习的指导者。每个项目的实施都有一个明确的任务、一个完整的过程，能够取得一个标志性成果。</w:t>
      </w:r>
    </w:p>
    <w:p>
      <w:pPr>
        <w:spacing w:line="560" w:lineRule="exact"/>
        <w:ind w:firstLine="570"/>
        <w:jc w:val="left"/>
        <w:outlineLvl w:val="2"/>
        <w:rPr>
          <w:rFonts w:hint="eastAsia" w:ascii="仿宋" w:hAnsi="仿宋" w:eastAsia="仿宋" w:cs="仿宋"/>
          <w:b/>
          <w:bCs w:val="0"/>
          <w:color w:val="000000" w:themeColor="text1"/>
          <w:sz w:val="32"/>
          <w:szCs w:val="32"/>
          <w14:textFill>
            <w14:solidFill>
              <w14:schemeClr w14:val="tx1"/>
            </w14:solidFill>
          </w14:textFill>
        </w:rPr>
      </w:pPr>
      <w:bookmarkStart w:id="87" w:name="_Toc30513"/>
      <w:bookmarkStart w:id="88" w:name="_Toc19872"/>
      <w:r>
        <w:rPr>
          <w:rFonts w:hint="eastAsia" w:ascii="仿宋" w:hAnsi="仿宋" w:eastAsia="仿宋" w:cs="仿宋"/>
          <w:b/>
          <w:bCs w:val="0"/>
          <w:color w:val="000000" w:themeColor="text1"/>
          <w:sz w:val="32"/>
          <w:szCs w:val="32"/>
          <w14:textFill>
            <w14:solidFill>
              <w14:schemeClr w14:val="tx1"/>
            </w14:solidFill>
          </w14:textFill>
        </w:rPr>
        <w:t>2.课堂讲授法</w:t>
      </w:r>
      <w:bookmarkEnd w:id="87"/>
      <w:bookmarkEnd w:id="88"/>
    </w:p>
    <w:p>
      <w:pPr>
        <w:spacing w:line="560" w:lineRule="exact"/>
        <w:ind w:firstLine="570"/>
        <w:jc w:val="left"/>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课堂讲授法是教师通过口头语言向学生描绘情境、叙述事实、解释概念、论证原理和阐明规律的教学方法。该方法以教师的语言作为主要媒介系统，连贯地向学生讲授基础知识</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14:textFill>
            <w14:solidFill>
              <w14:schemeClr w14:val="tx1"/>
            </w14:solidFill>
          </w14:textFill>
        </w:rPr>
        <w:t>基本理论或基本流程，帮助学生理解并准确掌握相关知识技能，特别是各个知识技能点之间的有机联系和逻辑关系。</w:t>
      </w:r>
    </w:p>
    <w:p>
      <w:pPr>
        <w:spacing w:line="560" w:lineRule="exact"/>
        <w:ind w:firstLine="570"/>
        <w:jc w:val="left"/>
        <w:outlineLvl w:val="2"/>
        <w:rPr>
          <w:rFonts w:hint="eastAsia" w:ascii="仿宋" w:hAnsi="仿宋" w:eastAsia="仿宋" w:cs="仿宋"/>
          <w:b/>
          <w:bCs w:val="0"/>
          <w:color w:val="000000" w:themeColor="text1"/>
          <w:sz w:val="32"/>
          <w:szCs w:val="32"/>
          <w14:textFill>
            <w14:solidFill>
              <w14:schemeClr w14:val="tx1"/>
            </w14:solidFill>
          </w14:textFill>
        </w:rPr>
      </w:pPr>
      <w:bookmarkStart w:id="89" w:name="_Toc9834"/>
      <w:bookmarkStart w:id="90" w:name="_Toc2367"/>
      <w:r>
        <w:rPr>
          <w:rFonts w:hint="eastAsia" w:ascii="仿宋" w:hAnsi="仿宋" w:eastAsia="仿宋" w:cs="仿宋"/>
          <w:b/>
          <w:bCs w:val="0"/>
          <w:color w:val="000000" w:themeColor="text1"/>
          <w:sz w:val="32"/>
          <w:szCs w:val="32"/>
          <w14:textFill>
            <w14:solidFill>
              <w14:schemeClr w14:val="tx1"/>
            </w14:solidFill>
          </w14:textFill>
        </w:rPr>
        <w:t>3.任务驱动法</w:t>
      </w:r>
      <w:bookmarkEnd w:id="89"/>
      <w:bookmarkEnd w:id="90"/>
    </w:p>
    <w:p>
      <w:pPr>
        <w:spacing w:line="560" w:lineRule="exact"/>
        <w:ind w:firstLine="570"/>
        <w:jc w:val="left"/>
        <w:rPr>
          <w:rFonts w:hint="eastAsia" w:ascii="仿宋" w:hAnsi="仿宋" w:eastAsia="仿宋" w:cs="仿宋"/>
          <w:bCs/>
          <w:color w:val="000000" w:themeColor="text1"/>
          <w:sz w:val="32"/>
          <w:szCs w:val="32"/>
          <w:lang w:eastAsia="zh-CN"/>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以职业能力养成为核心，通过设计不同场景的项目任务来组织教学，从获取信息到制订步骤，再到决策和付诸行动，直至检查、反思与评估，完成一个完整的工作过程。教师只扮演一个“咨询者”“协调者”和“观察员”的角色，引导学生自主学习，向学生提供资源</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14:textFill>
            <w14:solidFill>
              <w14:schemeClr w14:val="tx1"/>
            </w14:solidFill>
          </w14:textFill>
        </w:rPr>
        <w:t>给予建议和操作指导，可加深学生对基础知识和基本技能的掌握，也有助于学生职业判断能力、决策能力的提升和团队合作精神的培养</w:t>
      </w:r>
      <w:r>
        <w:rPr>
          <w:rFonts w:hint="eastAsia" w:ascii="仿宋" w:hAnsi="仿宋" w:eastAsia="仿宋" w:cs="仿宋"/>
          <w:bCs/>
          <w:color w:val="000000" w:themeColor="text1"/>
          <w:sz w:val="32"/>
          <w:szCs w:val="32"/>
          <w:lang w:eastAsia="zh-CN"/>
          <w14:textFill>
            <w14:solidFill>
              <w14:schemeClr w14:val="tx1"/>
            </w14:solidFill>
          </w14:textFill>
        </w:rPr>
        <w:t>。</w:t>
      </w:r>
    </w:p>
    <w:p>
      <w:pPr>
        <w:spacing w:line="560" w:lineRule="exact"/>
        <w:ind w:firstLine="570"/>
        <w:jc w:val="left"/>
        <w:outlineLvl w:val="2"/>
        <w:rPr>
          <w:rFonts w:hint="eastAsia" w:ascii="仿宋" w:hAnsi="仿宋" w:eastAsia="仿宋" w:cs="仿宋"/>
          <w:b/>
          <w:bCs w:val="0"/>
          <w:color w:val="000000" w:themeColor="text1"/>
          <w:sz w:val="32"/>
          <w:szCs w:val="32"/>
          <w14:textFill>
            <w14:solidFill>
              <w14:schemeClr w14:val="tx1"/>
            </w14:solidFill>
          </w14:textFill>
        </w:rPr>
      </w:pPr>
      <w:bookmarkStart w:id="91" w:name="_Toc2029"/>
      <w:bookmarkStart w:id="92" w:name="_Toc23249"/>
      <w:r>
        <w:rPr>
          <w:rFonts w:hint="eastAsia" w:ascii="仿宋" w:hAnsi="仿宋" w:eastAsia="仿宋" w:cs="仿宋"/>
          <w:b/>
          <w:bCs w:val="0"/>
          <w:color w:val="000000" w:themeColor="text1"/>
          <w:sz w:val="32"/>
          <w:szCs w:val="32"/>
          <w14:textFill>
            <w14:solidFill>
              <w14:schemeClr w14:val="tx1"/>
            </w14:solidFill>
          </w14:textFill>
        </w:rPr>
        <w:t>4.情境教学法</w:t>
      </w:r>
      <w:bookmarkEnd w:id="91"/>
      <w:bookmarkEnd w:id="92"/>
    </w:p>
    <w:p>
      <w:pPr>
        <w:spacing w:line="560" w:lineRule="exact"/>
        <w:ind w:firstLine="570"/>
        <w:jc w:val="left"/>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在教学过程中，教师有目的地引</w:t>
      </w:r>
      <w:r>
        <w:rPr>
          <w:rFonts w:hint="eastAsia" w:ascii="仿宋" w:hAnsi="仿宋" w:eastAsia="仿宋" w:cs="仿宋"/>
          <w:bCs/>
          <w:color w:val="000000" w:themeColor="text1"/>
          <w:sz w:val="32"/>
          <w:szCs w:val="32"/>
          <w:lang w:val="en-US" w:eastAsia="zh-CN"/>
          <w14:textFill>
            <w14:solidFill>
              <w14:schemeClr w14:val="tx1"/>
            </w14:solidFill>
          </w14:textFill>
        </w:rPr>
        <w:t>入</w:t>
      </w:r>
      <w:r>
        <w:rPr>
          <w:rFonts w:hint="eastAsia" w:ascii="仿宋" w:hAnsi="仿宋" w:eastAsia="仿宋" w:cs="仿宋"/>
          <w:bCs/>
          <w:color w:val="000000" w:themeColor="text1"/>
          <w:sz w:val="32"/>
          <w:szCs w:val="32"/>
          <w14:textFill>
            <w14:solidFill>
              <w14:schemeClr w14:val="tx1"/>
            </w14:solidFill>
          </w14:textFill>
        </w:rPr>
        <w:t>或采用虚拟企业、虚拟职能部门、虚拟业务流程等</w:t>
      </w:r>
      <w:r>
        <w:rPr>
          <w:rFonts w:hint="eastAsia" w:ascii="仿宋" w:hAnsi="仿宋" w:eastAsia="仿宋" w:cs="仿宋"/>
          <w:bCs/>
          <w:color w:val="000000" w:themeColor="text1"/>
          <w:sz w:val="32"/>
          <w:szCs w:val="32"/>
          <w:lang w:val="en-US" w:eastAsia="zh-CN"/>
          <w14:textFill>
            <w14:solidFill>
              <w14:schemeClr w14:val="tx1"/>
            </w14:solidFill>
          </w14:textFill>
        </w:rPr>
        <w:t>现代</w:t>
      </w:r>
      <w:r>
        <w:rPr>
          <w:rFonts w:hint="eastAsia" w:ascii="仿宋" w:hAnsi="仿宋" w:eastAsia="仿宋" w:cs="仿宋"/>
          <w:bCs/>
          <w:color w:val="000000" w:themeColor="text1"/>
          <w:sz w:val="32"/>
          <w:szCs w:val="32"/>
          <w14:textFill>
            <w14:solidFill>
              <w14:schemeClr w14:val="tx1"/>
            </w14:solidFill>
          </w14:textFill>
        </w:rPr>
        <w:t>技术手段，将教学内容以视频、动漫等方式展示，提高学习的现场感、趣味性，激发</w:t>
      </w:r>
      <w:r>
        <w:rPr>
          <w:rFonts w:hint="eastAsia" w:ascii="仿宋" w:hAnsi="仿宋" w:eastAsia="仿宋" w:cs="仿宋"/>
          <w:bCs/>
          <w:color w:val="000000" w:themeColor="text1"/>
          <w:sz w:val="32"/>
          <w:szCs w:val="32"/>
          <w:lang w:val="en-US" w:eastAsia="zh-CN"/>
          <w14:textFill>
            <w14:solidFill>
              <w14:schemeClr w14:val="tx1"/>
            </w14:solidFill>
          </w14:textFill>
        </w:rPr>
        <w:t>学生</w:t>
      </w:r>
      <w:r>
        <w:rPr>
          <w:rFonts w:hint="eastAsia" w:ascii="仿宋" w:hAnsi="仿宋" w:eastAsia="仿宋" w:cs="仿宋"/>
          <w:bCs/>
          <w:color w:val="000000" w:themeColor="text1"/>
          <w:sz w:val="32"/>
          <w:szCs w:val="32"/>
          <w14:textFill>
            <w14:solidFill>
              <w14:schemeClr w14:val="tx1"/>
            </w14:solidFill>
          </w14:textFill>
        </w:rPr>
        <w:t>的情感，使学生能够尽快适应、了解和掌握将来所从事工作必备的知识和技能，直至熟悉</w:t>
      </w:r>
      <w:r>
        <w:rPr>
          <w:rFonts w:hint="eastAsia" w:ascii="仿宋" w:hAnsi="仿宋" w:eastAsia="仿宋" w:cs="仿宋"/>
          <w:bCs/>
          <w:color w:val="000000" w:themeColor="text1"/>
          <w:sz w:val="32"/>
          <w:szCs w:val="32"/>
          <w:lang w:val="en-US" w:eastAsia="zh-CN"/>
          <w14:textFill>
            <w14:solidFill>
              <w14:schemeClr w14:val="tx1"/>
            </w14:solidFill>
          </w14:textFill>
        </w:rPr>
        <w:t>可能</w:t>
      </w:r>
      <w:r>
        <w:rPr>
          <w:rFonts w:hint="eastAsia" w:ascii="仿宋" w:hAnsi="仿宋" w:eastAsia="仿宋" w:cs="仿宋"/>
          <w:bCs/>
          <w:color w:val="000000" w:themeColor="text1"/>
          <w:sz w:val="32"/>
          <w:szCs w:val="32"/>
          <w14:textFill>
            <w14:solidFill>
              <w14:schemeClr w14:val="tx1"/>
            </w14:solidFill>
          </w14:textFill>
        </w:rPr>
        <w:t>遇到的各种方法，帮助学生做出正确的决策，有效调动学生学习的主动性、积极性和创性，培养学生职业能力。</w:t>
      </w:r>
    </w:p>
    <w:p>
      <w:pPr>
        <w:spacing w:line="560" w:lineRule="exact"/>
        <w:ind w:firstLine="570"/>
        <w:jc w:val="left"/>
        <w:outlineLvl w:val="2"/>
        <w:rPr>
          <w:rFonts w:hint="eastAsia" w:ascii="仿宋" w:hAnsi="仿宋" w:eastAsia="仿宋" w:cs="仿宋"/>
          <w:b/>
          <w:bCs w:val="0"/>
          <w:color w:val="000000" w:themeColor="text1"/>
          <w:sz w:val="32"/>
          <w:szCs w:val="32"/>
          <w14:textFill>
            <w14:solidFill>
              <w14:schemeClr w14:val="tx1"/>
            </w14:solidFill>
          </w14:textFill>
        </w:rPr>
      </w:pPr>
      <w:bookmarkStart w:id="93" w:name="_Toc30068"/>
      <w:bookmarkStart w:id="94" w:name="_Toc5526"/>
      <w:r>
        <w:rPr>
          <w:rFonts w:hint="eastAsia" w:ascii="仿宋" w:hAnsi="仿宋" w:eastAsia="仿宋" w:cs="仿宋"/>
          <w:b/>
          <w:bCs w:val="0"/>
          <w:color w:val="000000" w:themeColor="text1"/>
          <w:sz w:val="32"/>
          <w:szCs w:val="32"/>
          <w14:textFill>
            <w14:solidFill>
              <w14:schemeClr w14:val="tx1"/>
            </w14:solidFill>
          </w14:textFill>
        </w:rPr>
        <w:t>5.案例教学法</w:t>
      </w:r>
      <w:bookmarkEnd w:id="93"/>
      <w:bookmarkEnd w:id="94"/>
    </w:p>
    <w:p>
      <w:pPr>
        <w:spacing w:line="560" w:lineRule="exact"/>
        <w:ind w:firstLine="570"/>
        <w:jc w:val="left"/>
        <w:rPr>
          <w:rFonts w:hint="eastAsia" w:ascii="仿宋" w:hAnsi="仿宋" w:eastAsia="仿宋" w:cs="仿宋"/>
          <w:bCs/>
          <w:color w:val="000000" w:themeColor="text1"/>
          <w:sz w:val="32"/>
          <w:szCs w:val="32"/>
          <w:lang w:eastAsia="zh-CN"/>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案例教学法包括讲解案例法和讨论案例法两种。讲解案例法，是将案例教学融入传统的讲授教学法之中的一种方法。教学中使用的案例，通常是针对课程知识体系中的重点、难点问题设计的，也称“知识点案例”。讨论案例法，是以学生课堂讨论为主，案例是学生讨论的主题，学生通过对案例的剖析，提出各自的解决方案，并予以充分讨论</w:t>
      </w:r>
      <w:r>
        <w:rPr>
          <w:rFonts w:hint="eastAsia" w:ascii="仿宋" w:hAnsi="仿宋" w:eastAsia="仿宋" w:cs="仿宋"/>
          <w:bCs/>
          <w:color w:val="000000" w:themeColor="text1"/>
          <w:sz w:val="32"/>
          <w:szCs w:val="32"/>
          <w:lang w:eastAsia="zh-CN"/>
          <w14:textFill>
            <w14:solidFill>
              <w14:schemeClr w14:val="tx1"/>
            </w14:solidFill>
          </w14:textFill>
        </w:rPr>
        <w:t>。</w:t>
      </w:r>
    </w:p>
    <w:p>
      <w:pPr>
        <w:spacing w:line="560" w:lineRule="exact"/>
        <w:ind w:firstLine="570"/>
        <w:jc w:val="left"/>
        <w:outlineLvl w:val="2"/>
        <w:rPr>
          <w:rFonts w:hint="eastAsia" w:ascii="仿宋" w:hAnsi="仿宋" w:eastAsia="仿宋" w:cs="仿宋"/>
          <w:b/>
          <w:bCs w:val="0"/>
          <w:color w:val="000000" w:themeColor="text1"/>
          <w:sz w:val="32"/>
          <w:szCs w:val="32"/>
          <w14:textFill>
            <w14:solidFill>
              <w14:schemeClr w14:val="tx1"/>
            </w14:solidFill>
          </w14:textFill>
        </w:rPr>
      </w:pPr>
      <w:bookmarkStart w:id="95" w:name="_Toc13720"/>
      <w:bookmarkStart w:id="96" w:name="_Toc17095"/>
      <w:r>
        <w:rPr>
          <w:rFonts w:hint="eastAsia" w:ascii="仿宋" w:hAnsi="仿宋" w:eastAsia="仿宋" w:cs="仿宋"/>
          <w:b/>
          <w:bCs w:val="0"/>
          <w:color w:val="000000" w:themeColor="text1"/>
          <w:sz w:val="32"/>
          <w:szCs w:val="32"/>
          <w14:textFill>
            <w14:solidFill>
              <w14:schemeClr w14:val="tx1"/>
            </w14:solidFill>
          </w14:textFill>
        </w:rPr>
        <w:t>6.启发式教学法</w:t>
      </w:r>
      <w:bookmarkEnd w:id="95"/>
      <w:bookmarkEnd w:id="96"/>
    </w:p>
    <w:p>
      <w:pPr>
        <w:spacing w:line="560" w:lineRule="exact"/>
        <w:ind w:firstLine="570"/>
        <w:jc w:val="left"/>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启发式教学是根据教学目的和内容，通过设计启发、诱导型问题，引导学生养成多思考、善思考、勤思考的习惯，将问题解决贯穿于教学的每一环节，启迪学生思考，活跃学生思维，促进学生身心发展，提高学生学习的主动性、积极性和创造性，更好地激发学生的学习兴趣，加深对课程内容的理解。</w:t>
      </w:r>
    </w:p>
    <w:p>
      <w:pPr>
        <w:spacing w:line="560" w:lineRule="exact"/>
        <w:ind w:firstLine="643" w:firstLineChars="200"/>
        <w:jc w:val="left"/>
        <w:outlineLvl w:val="1"/>
        <w:rPr>
          <w:rFonts w:hint="eastAsia" w:ascii="楷体" w:hAnsi="楷体" w:eastAsia="楷体" w:cs="楷体"/>
          <w:b/>
          <w:bCs/>
          <w:color w:val="000000" w:themeColor="text1"/>
          <w:sz w:val="32"/>
          <w:szCs w:val="32"/>
          <w14:textFill>
            <w14:solidFill>
              <w14:schemeClr w14:val="tx1"/>
            </w14:solidFill>
          </w14:textFill>
        </w:rPr>
      </w:pPr>
      <w:bookmarkStart w:id="97" w:name="_Toc19123"/>
      <w:bookmarkStart w:id="98" w:name="_Toc12900"/>
      <w:r>
        <w:rPr>
          <w:rFonts w:hint="eastAsia" w:ascii="楷体" w:hAnsi="楷体" w:eastAsia="楷体" w:cs="楷体"/>
          <w:b/>
          <w:bCs/>
          <w:color w:val="000000" w:themeColor="text1"/>
          <w:sz w:val="32"/>
          <w:szCs w:val="32"/>
          <w14:textFill>
            <w14:solidFill>
              <w14:schemeClr w14:val="tx1"/>
            </w14:solidFill>
          </w14:textFill>
        </w:rPr>
        <w:t>（五）学习评价</w:t>
      </w:r>
      <w:bookmarkEnd w:id="97"/>
      <w:bookmarkEnd w:id="98"/>
    </w:p>
    <w:p>
      <w:pPr>
        <w:spacing w:line="560" w:lineRule="exact"/>
        <w:ind w:firstLine="570"/>
        <w:jc w:val="left"/>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本专业针对不同教学与实践内容，构建多元化评价体系和模式。评价内容包括学生的知识掌握情况、实践操作能力、学习态度和基本职业素质等方面，突出对学生专业能力的考校评价。课程考核采用过程考核和结果考核相结合的评价方法，科学合理地评价学生学习的效果，引导学生注重学习过程，提高学生的学习兴趣。</w:t>
      </w:r>
    </w:p>
    <w:p>
      <w:pPr>
        <w:spacing w:line="560" w:lineRule="exact"/>
        <w:ind w:firstLine="570"/>
        <w:jc w:val="left"/>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评价过程中应注意以下几点：</w:t>
      </w:r>
    </w:p>
    <w:p>
      <w:pPr>
        <w:spacing w:line="560" w:lineRule="exact"/>
        <w:ind w:firstLine="570"/>
        <w:jc w:val="left"/>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1.结合课堂提问、现场操作、课后作业、模块考核等手段，构建“多形式、多项目”的课程考核标准，加强实践环节的考核，并注重平时采分。</w:t>
      </w:r>
    </w:p>
    <w:p>
      <w:pPr>
        <w:spacing w:line="560" w:lineRule="exact"/>
        <w:ind w:firstLine="570"/>
        <w:jc w:val="left"/>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lang w:val="en-US" w:eastAsia="zh-CN"/>
          <w14:textFill>
            <w14:solidFill>
              <w14:schemeClr w14:val="tx1"/>
            </w14:solidFill>
          </w14:textFill>
        </w:rPr>
        <w:t>2</w:t>
      </w:r>
      <w:r>
        <w:rPr>
          <w:rFonts w:hint="eastAsia" w:ascii="仿宋" w:hAnsi="仿宋" w:eastAsia="仿宋" w:cs="仿宋"/>
          <w:bCs/>
          <w:color w:val="000000" w:themeColor="text1"/>
          <w:sz w:val="32"/>
          <w:szCs w:val="32"/>
          <w14:textFill>
            <w14:solidFill>
              <w14:schemeClr w14:val="tx1"/>
            </w14:solidFill>
          </w14:textFill>
        </w:rPr>
        <w:t>.鼓励学生参加国家</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14:textFill>
            <w14:solidFill>
              <w14:schemeClr w14:val="tx1"/>
            </w14:solidFill>
          </w14:textFill>
        </w:rPr>
        <w:t>省、市级本专业技能比赛，以竞赛组织方级别和获奖等级为依据折合成相关专业课程的成绩。</w:t>
      </w:r>
    </w:p>
    <w:p>
      <w:pPr>
        <w:spacing w:line="560" w:lineRule="exact"/>
        <w:ind w:firstLine="570"/>
        <w:jc w:val="left"/>
        <w:rPr>
          <w:rFonts w:hint="eastAsia" w:ascii="仿宋" w:hAnsi="仿宋" w:eastAsia="仿宋" w:cs="仿宋"/>
          <w:bCs/>
          <w:color w:val="000000" w:themeColor="text1"/>
          <w:sz w:val="32"/>
          <w:szCs w:val="32"/>
          <w:lang w:eastAsia="zh-CN"/>
          <w14:textFill>
            <w14:solidFill>
              <w14:schemeClr w14:val="tx1"/>
            </w14:solidFill>
          </w14:textFill>
        </w:rPr>
      </w:pPr>
      <w:r>
        <w:rPr>
          <w:rFonts w:hint="eastAsia" w:ascii="仿宋" w:hAnsi="仿宋" w:eastAsia="仿宋" w:cs="仿宋"/>
          <w:bCs/>
          <w:color w:val="000000" w:themeColor="text1"/>
          <w:sz w:val="32"/>
          <w:szCs w:val="32"/>
          <w:lang w:val="en-US" w:eastAsia="zh-CN"/>
          <w14:textFill>
            <w14:solidFill>
              <w14:schemeClr w14:val="tx1"/>
            </w14:solidFill>
          </w14:textFill>
        </w:rPr>
        <w:t>3</w:t>
      </w:r>
      <w:r>
        <w:rPr>
          <w:rFonts w:hint="eastAsia" w:ascii="仿宋" w:hAnsi="仿宋" w:eastAsia="仿宋" w:cs="仿宋"/>
          <w:bCs/>
          <w:color w:val="000000" w:themeColor="text1"/>
          <w:sz w:val="32"/>
          <w:szCs w:val="32"/>
          <w14:textFill>
            <w14:solidFill>
              <w14:schemeClr w14:val="tx1"/>
            </w14:solidFill>
          </w14:textFill>
        </w:rPr>
        <w:t>.将学业考核与职业资格证书相结合，允许用职业资格证书替代相关专业的课程成绩。</w:t>
      </w:r>
    </w:p>
    <w:p>
      <w:pPr>
        <w:spacing w:line="560" w:lineRule="exact"/>
        <w:ind w:firstLine="570"/>
        <w:jc w:val="left"/>
        <w:outlineLvl w:val="2"/>
        <w:rPr>
          <w:rFonts w:hint="eastAsia" w:ascii="仿宋" w:hAnsi="仿宋" w:eastAsia="仿宋" w:cs="仿宋"/>
          <w:bCs/>
          <w:color w:val="000000" w:themeColor="text1"/>
          <w:sz w:val="32"/>
          <w:szCs w:val="32"/>
          <w14:textFill>
            <w14:solidFill>
              <w14:schemeClr w14:val="tx1"/>
            </w14:solidFill>
          </w14:textFill>
        </w:rPr>
      </w:pPr>
      <w:bookmarkStart w:id="99" w:name="_Toc25917"/>
      <w:bookmarkStart w:id="100" w:name="_Toc13353"/>
      <w:bookmarkStart w:id="101" w:name="_Toc3822"/>
      <w:bookmarkStart w:id="102" w:name="_Toc31677"/>
      <w:r>
        <w:rPr>
          <w:rFonts w:hint="eastAsia" w:ascii="仿宋" w:hAnsi="仿宋" w:eastAsia="仿宋" w:cs="仿宋"/>
          <w:bCs/>
          <w:color w:val="000000" w:themeColor="text1"/>
          <w:sz w:val="32"/>
          <w:szCs w:val="32"/>
          <w:lang w:val="en-US" w:eastAsia="zh-CN"/>
          <w14:textFill>
            <w14:solidFill>
              <w14:schemeClr w14:val="tx1"/>
            </w14:solidFill>
          </w14:textFill>
        </w:rPr>
        <w:t>4</w:t>
      </w:r>
      <w:r>
        <w:rPr>
          <w:rFonts w:hint="eastAsia" w:ascii="仿宋" w:hAnsi="仿宋" w:eastAsia="仿宋" w:cs="仿宋"/>
          <w:bCs/>
          <w:color w:val="000000" w:themeColor="text1"/>
          <w:sz w:val="32"/>
          <w:szCs w:val="32"/>
          <w14:textFill>
            <w14:solidFill>
              <w14:schemeClr w14:val="tx1"/>
            </w14:solidFill>
          </w14:textFill>
        </w:rPr>
        <w:t>.吸纳行业企业和社会有关方面组织参与考核评价。</w:t>
      </w:r>
      <w:bookmarkEnd w:id="99"/>
      <w:bookmarkEnd w:id="100"/>
      <w:bookmarkEnd w:id="101"/>
      <w:bookmarkEnd w:id="102"/>
    </w:p>
    <w:p>
      <w:pPr>
        <w:spacing w:line="560" w:lineRule="exact"/>
        <w:ind w:firstLine="643" w:firstLineChars="200"/>
        <w:jc w:val="left"/>
        <w:outlineLvl w:val="1"/>
        <w:rPr>
          <w:rFonts w:hint="eastAsia" w:ascii="楷体" w:hAnsi="楷体" w:eastAsia="楷体" w:cs="楷体"/>
          <w:b/>
          <w:bCs/>
          <w:color w:val="000000" w:themeColor="text1"/>
          <w:sz w:val="32"/>
          <w:szCs w:val="32"/>
          <w14:textFill>
            <w14:solidFill>
              <w14:schemeClr w14:val="tx1"/>
            </w14:solidFill>
          </w14:textFill>
        </w:rPr>
      </w:pPr>
      <w:bookmarkStart w:id="103" w:name="_Toc1217"/>
      <w:bookmarkStart w:id="104" w:name="_Toc1117"/>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楷体" w:hAnsi="楷体" w:eastAsia="楷体" w:cs="楷体"/>
          <w:b/>
          <w:bCs/>
          <w:color w:val="000000" w:themeColor="text1"/>
          <w:sz w:val="32"/>
          <w:szCs w:val="32"/>
          <w:lang w:val="en-US" w:eastAsia="zh-CN"/>
          <w14:textFill>
            <w14:solidFill>
              <w14:schemeClr w14:val="tx1"/>
            </w14:solidFill>
          </w14:textFill>
        </w:rPr>
        <w:t>六</w:t>
      </w:r>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楷体" w:hAnsi="楷体" w:eastAsia="楷体" w:cs="楷体"/>
          <w:b/>
          <w:bCs/>
          <w:color w:val="000000" w:themeColor="text1"/>
          <w:sz w:val="32"/>
          <w:szCs w:val="32"/>
          <w14:textFill>
            <w14:solidFill>
              <w14:schemeClr w14:val="tx1"/>
            </w14:solidFill>
          </w14:textFill>
        </w:rPr>
        <w:t>质量管理</w:t>
      </w:r>
      <w:bookmarkEnd w:id="103"/>
      <w:bookmarkEnd w:id="104"/>
    </w:p>
    <w:p>
      <w:pPr>
        <w:spacing w:line="560" w:lineRule="exact"/>
        <w:ind w:firstLine="570"/>
        <w:jc w:val="left"/>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lang w:val="en-US" w:eastAsia="zh-CN"/>
          <w14:textFill>
            <w14:solidFill>
              <w14:schemeClr w14:val="tx1"/>
            </w14:solidFill>
          </w14:textFill>
        </w:rPr>
        <w:t>1.</w:t>
      </w:r>
      <w:r>
        <w:rPr>
          <w:rFonts w:hint="eastAsia" w:ascii="仿宋" w:hAnsi="仿宋" w:eastAsia="仿宋" w:cs="仿宋"/>
          <w:bCs/>
          <w:color w:val="000000" w:themeColor="text1"/>
          <w:sz w:val="32"/>
          <w:szCs w:val="32"/>
          <w14:textFill>
            <w14:solidFill>
              <w14:schemeClr w14:val="tx1"/>
            </w14:solidFill>
          </w14:textFill>
        </w:rPr>
        <w:t>健全各级专业教学管理机构，明确职责，同时建立健全覆盖专业教学全过程的教学管理规章制度。具体包括人才培养的市场调研及培养方案的制订与修订，专业教学团队建设、课程建设、教材建设，网络教学资源建设，校内外实训实习基地建设，学生</w:t>
      </w:r>
      <w:r>
        <w:rPr>
          <w:rFonts w:hint="eastAsia" w:ascii="仿宋" w:hAnsi="仿宋" w:eastAsia="仿宋" w:cs="仿宋"/>
          <w:bCs/>
          <w:color w:val="000000" w:themeColor="text1"/>
          <w:sz w:val="32"/>
          <w:szCs w:val="32"/>
          <w:lang w:val="en-US" w:eastAsia="zh-CN"/>
          <w14:textFill>
            <w14:solidFill>
              <w14:schemeClr w14:val="tx1"/>
            </w14:solidFill>
          </w14:textFill>
        </w:rPr>
        <w:t>岗位</w:t>
      </w:r>
      <w:r>
        <w:rPr>
          <w:rFonts w:hint="eastAsia" w:ascii="仿宋" w:hAnsi="仿宋" w:eastAsia="仿宋" w:cs="仿宋"/>
          <w:bCs/>
          <w:color w:val="000000" w:themeColor="text1"/>
          <w:sz w:val="32"/>
          <w:szCs w:val="32"/>
          <w14:textFill>
            <w14:solidFill>
              <w14:schemeClr w14:val="tx1"/>
            </w14:solidFill>
          </w14:textFill>
        </w:rPr>
        <w:t>实习等专业社会实践活动的开展，对毕业生的跟踪调查以及社会服务与产学研合作等主要内容，以满足教学管理的需要。</w:t>
      </w:r>
    </w:p>
    <w:p>
      <w:pPr>
        <w:spacing w:line="560" w:lineRule="exact"/>
        <w:ind w:firstLine="570"/>
        <w:jc w:val="left"/>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lang w:val="en-US" w:eastAsia="zh-CN"/>
          <w14:textFill>
            <w14:solidFill>
              <w14:schemeClr w14:val="tx1"/>
            </w14:solidFill>
          </w14:textFill>
        </w:rPr>
        <w:t>2.</w:t>
      </w:r>
      <w:r>
        <w:rPr>
          <w:rFonts w:hint="eastAsia" w:ascii="仿宋" w:hAnsi="仿宋" w:eastAsia="仿宋" w:cs="仿宋"/>
          <w:bCs/>
          <w:color w:val="000000" w:themeColor="text1"/>
          <w:sz w:val="32"/>
          <w:szCs w:val="32"/>
          <w14:textFill>
            <w14:solidFill>
              <w14:schemeClr w14:val="tx1"/>
            </w14:solidFill>
          </w14:textFill>
        </w:rPr>
        <w:t>积极采用现代管理技术开展教学管理工作，切实保障教学管理工作的严格执行与教学管理措施的贯彻到位，保证人才培养质量，全面实现人才培养目标。</w:t>
      </w:r>
    </w:p>
    <w:p>
      <w:pPr>
        <w:spacing w:line="560" w:lineRule="exact"/>
        <w:ind w:firstLine="627" w:firstLineChars="196"/>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.完善教学管理机制，加强日常教学组织运行与管理，建立健全巡课、听课、评教、评学等制度，严明教学纪律，强化教学组织功能。定期开展公开课、示范课等教研活动。</w:t>
      </w:r>
    </w:p>
    <w:p>
      <w:pPr>
        <w:spacing w:line="560" w:lineRule="exact"/>
        <w:ind w:firstLine="640" w:firstLineChars="200"/>
        <w:jc w:val="left"/>
        <w:outlineLvl w:val="0"/>
        <w:rPr>
          <w:rFonts w:ascii="黑体" w:hAnsi="黑体" w:eastAsia="黑体" w:cs="黑体"/>
          <w:color w:val="000000" w:themeColor="text1"/>
          <w:sz w:val="32"/>
          <w:szCs w:val="32"/>
          <w14:textFill>
            <w14:solidFill>
              <w14:schemeClr w14:val="tx1"/>
            </w14:solidFill>
          </w14:textFill>
        </w:rPr>
      </w:pPr>
      <w:bookmarkStart w:id="105" w:name="_Toc7004"/>
      <w:bookmarkStart w:id="106" w:name="_Toc3516"/>
      <w:r>
        <w:rPr>
          <w:rFonts w:hint="eastAsia" w:ascii="黑体" w:hAnsi="黑体" w:eastAsia="黑体" w:cs="黑体"/>
          <w:color w:val="000000" w:themeColor="text1"/>
          <w:sz w:val="32"/>
          <w:szCs w:val="32"/>
          <w:lang w:val="en-US" w:eastAsia="zh-CN"/>
          <w14:textFill>
            <w14:solidFill>
              <w14:schemeClr w14:val="tx1"/>
            </w14:solidFill>
          </w14:textFill>
        </w:rPr>
        <w:t>十一</w:t>
      </w:r>
      <w:r>
        <w:rPr>
          <w:rFonts w:hint="eastAsia" w:ascii="黑体" w:hAnsi="黑体" w:eastAsia="黑体" w:cs="黑体"/>
          <w:color w:val="000000" w:themeColor="text1"/>
          <w:sz w:val="32"/>
          <w:szCs w:val="32"/>
          <w14:textFill>
            <w14:solidFill>
              <w14:schemeClr w14:val="tx1"/>
            </w14:solidFill>
          </w14:textFill>
        </w:rPr>
        <w:t>、毕业要求</w:t>
      </w:r>
      <w:bookmarkEnd w:id="105"/>
      <w:bookmarkEnd w:id="106"/>
    </w:p>
    <w:p>
      <w:pPr>
        <w:spacing w:line="560" w:lineRule="exact"/>
        <w:ind w:firstLine="627" w:firstLineChars="196"/>
        <w:jc w:val="left"/>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学生修完本专业人才培养方案所规定的课程并成绩合格，达到本专业人才培养目标和培养规格的要求方可毕业。</w:t>
      </w:r>
    </w:p>
    <w:p>
      <w:pPr>
        <w:pStyle w:val="2"/>
        <w:ind w:left="0" w:leftChars="0" w:firstLine="640" w:firstLineChars="200"/>
        <w:rPr>
          <w:rFonts w:ascii="黑体" w:hAnsi="黑体" w:eastAsia="黑体" w:cs="黑体"/>
          <w:color w:val="000000" w:themeColor="text1"/>
          <w:sz w:val="32"/>
          <w:szCs w:val="32"/>
          <w:lang w:val="en-US" w:bidi="ar-SA"/>
          <w14:textFill>
            <w14:solidFill>
              <w14:schemeClr w14:val="tx1"/>
            </w14:solidFill>
          </w14:textFill>
        </w:rPr>
      </w:pPr>
      <w:bookmarkStart w:id="107" w:name="_Toc23913"/>
      <w:bookmarkStart w:id="108" w:name="_Toc26406"/>
      <w:r>
        <w:rPr>
          <w:rFonts w:hint="eastAsia" w:ascii="黑体" w:hAnsi="黑体" w:eastAsia="黑体" w:cs="黑体"/>
          <w:color w:val="000000" w:themeColor="text1"/>
          <w:sz w:val="32"/>
          <w:szCs w:val="32"/>
          <w:lang w:val="en-US" w:bidi="ar-SA"/>
          <w14:textFill>
            <w14:solidFill>
              <w14:schemeClr w14:val="tx1"/>
            </w14:solidFill>
          </w14:textFill>
        </w:rPr>
        <w:t>十</w:t>
      </w:r>
      <w:r>
        <w:rPr>
          <w:rFonts w:hint="eastAsia" w:ascii="黑体" w:hAnsi="黑体" w:eastAsia="黑体" w:cs="黑体"/>
          <w:color w:val="000000" w:themeColor="text1"/>
          <w:sz w:val="32"/>
          <w:szCs w:val="32"/>
          <w:lang w:val="en-US" w:eastAsia="zh-CN" w:bidi="ar-SA"/>
          <w14:textFill>
            <w14:solidFill>
              <w14:schemeClr w14:val="tx1"/>
            </w14:solidFill>
          </w14:textFill>
        </w:rPr>
        <w:t>二</w:t>
      </w:r>
      <w:r>
        <w:rPr>
          <w:rFonts w:hint="eastAsia" w:ascii="黑体" w:hAnsi="黑体" w:eastAsia="黑体" w:cs="黑体"/>
          <w:color w:val="000000" w:themeColor="text1"/>
          <w:sz w:val="32"/>
          <w:szCs w:val="32"/>
          <w:lang w:val="en-US" w:bidi="ar-SA"/>
          <w14:textFill>
            <w14:solidFill>
              <w14:schemeClr w14:val="tx1"/>
            </w14:solidFill>
          </w14:textFill>
        </w:rPr>
        <w:t>、接续专业举例</w:t>
      </w:r>
      <w:bookmarkEnd w:id="107"/>
      <w:bookmarkEnd w:id="108"/>
    </w:p>
    <w:p>
      <w:pPr>
        <w:spacing w:line="560" w:lineRule="exact"/>
        <w:ind w:firstLine="627" w:firstLineChars="196"/>
        <w:jc w:val="left"/>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接续高职专科专业举例：</w:t>
      </w:r>
      <w:r>
        <w:rPr>
          <w:rFonts w:hint="eastAsia" w:ascii="仿宋" w:hAnsi="仿宋" w:eastAsia="仿宋" w:cs="仿宋"/>
          <w:bCs/>
          <w:color w:val="000000" w:themeColor="text1"/>
          <w:sz w:val="32"/>
          <w:szCs w:val="32"/>
          <w:highlight w:val="none"/>
          <w14:textFill>
            <w14:solidFill>
              <w14:schemeClr w14:val="tx1"/>
            </w14:solidFill>
          </w14:textFill>
        </w:rPr>
        <w:t>财税大数据应用、大数据与财务管理、大数据与会计、大数据与审计、会计信息管理等</w:t>
      </w:r>
      <w:r>
        <w:rPr>
          <w:rFonts w:hint="eastAsia" w:ascii="仿宋" w:hAnsi="仿宋" w:eastAsia="仿宋" w:cs="仿宋"/>
          <w:bCs/>
          <w:color w:val="000000" w:themeColor="text1"/>
          <w:sz w:val="32"/>
          <w:szCs w:val="32"/>
          <w14:textFill>
            <w14:solidFill>
              <w14:schemeClr w14:val="tx1"/>
            </w14:solidFill>
          </w14:textFill>
        </w:rPr>
        <w:t>。</w:t>
      </w:r>
    </w:p>
    <w:p>
      <w:pPr>
        <w:spacing w:line="560" w:lineRule="exact"/>
        <w:ind w:firstLine="627" w:firstLineChars="196"/>
        <w:jc w:val="left"/>
        <w:rPr>
          <w:rFonts w:hint="default" w:ascii="仿宋" w:hAnsi="仿宋" w:eastAsia="仿宋" w:cs="仿宋"/>
          <w:bCs/>
          <w:color w:val="000000" w:themeColor="text1"/>
          <w:sz w:val="32"/>
          <w:szCs w:val="32"/>
          <w:lang w:val="en-US"/>
          <w14:textFill>
            <w14:solidFill>
              <w14:schemeClr w14:val="tx1"/>
            </w14:solidFill>
          </w14:textFill>
        </w:rPr>
      </w:pPr>
      <w:r>
        <w:rPr>
          <w:rFonts w:hint="eastAsia" w:ascii="仿宋" w:hAnsi="仿宋" w:eastAsia="仿宋" w:cs="仿宋"/>
          <w:bCs/>
          <w:color w:val="000000" w:themeColor="text1"/>
          <w:sz w:val="32"/>
          <w:szCs w:val="32"/>
          <w:lang w:val="en-US" w:eastAsia="zh-CN"/>
          <w14:textFill>
            <w14:solidFill>
              <w14:schemeClr w14:val="tx1"/>
            </w14:solidFill>
          </w14:textFill>
        </w:rPr>
        <w:t>接续普通本科专业举例：财务管理、会计学、审计学、财务会计教育等。</w:t>
      </w:r>
    </w:p>
    <w:p>
      <w:pPr>
        <w:pStyle w:val="2"/>
        <w:outlineLvl w:val="9"/>
        <w:rPr>
          <w:rFonts w:hint="eastAsia"/>
          <w:color w:val="FF0000"/>
          <w:sz w:val="32"/>
          <w:lang w:val="en-US" w:bidi="ar-SA"/>
        </w:rPr>
      </w:pPr>
    </w:p>
    <w:p/>
    <w:sectPr>
      <w:headerReference r:id="rId3" w:type="default"/>
      <w:footerReference r:id="rId4" w:type="default"/>
      <w:pgSz w:w="11906" w:h="16838"/>
      <w:pgMar w:top="1417" w:right="1587" w:bottom="1417" w:left="1587"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6B56E8B-7D8E-4B0B-B3C7-8677CD2333C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行楷">
    <w:panose1 w:val="02010800040101010101"/>
    <w:charset w:val="86"/>
    <w:family w:val="auto"/>
    <w:pitch w:val="default"/>
    <w:sig w:usb0="00000001" w:usb1="080F0000" w:usb2="00000000" w:usb3="00000000" w:csb0="00040000" w:csb1="00000000"/>
  </w:font>
  <w:font w:name="方正小标宋简体">
    <w:panose1 w:val="02000000000000000000"/>
    <w:charset w:val="86"/>
    <w:family w:val="auto"/>
    <w:pitch w:val="default"/>
    <w:sig w:usb0="00000001" w:usb1="08000000" w:usb2="00000000" w:usb3="00000000" w:csb0="00040000" w:csb1="00000000"/>
    <w:embedRegular r:id="rId2" w:fontKey="{58C341C0-1CF0-47EE-B97D-F2AC8FFA1E93}"/>
  </w:font>
  <w:font w:name="仿宋">
    <w:panose1 w:val="02010609060101010101"/>
    <w:charset w:val="86"/>
    <w:family w:val="modern"/>
    <w:pitch w:val="default"/>
    <w:sig w:usb0="800002BF" w:usb1="38CF7CFA" w:usb2="00000016" w:usb3="00000000" w:csb0="00040001" w:csb1="00000000"/>
    <w:embedRegular r:id="rId3" w:fontKey="{CE541CFA-B200-4BA6-8FB7-8D36C6185687}"/>
  </w:font>
  <w:font w:name="楷体">
    <w:panose1 w:val="02010609060101010101"/>
    <w:charset w:val="86"/>
    <w:family w:val="modern"/>
    <w:pitch w:val="default"/>
    <w:sig w:usb0="800002BF" w:usb1="38CF7CFA" w:usb2="00000016" w:usb3="00000000" w:csb0="00040001" w:csb1="00000000"/>
    <w:embedRegular r:id="rId4" w:fontKey="{F050D90F-3B7D-4377-A1EE-5C13C0F20E75}"/>
  </w:font>
  <w:font w:name="仿宋_GB2312">
    <w:panose1 w:val="02010609030101010101"/>
    <w:charset w:val="86"/>
    <w:family w:val="modern"/>
    <w:pitch w:val="default"/>
    <w:sig w:usb0="00000001" w:usb1="080E0000" w:usb2="00000000" w:usb3="00000000" w:csb0="00040000" w:csb1="00000000"/>
    <w:embedRegular r:id="rId5" w:fontKey="{9BFAA47D-8B76-4501-AC05-8B1E0E1B5FF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1"/>
        <w:left w:val="none" w:color="auto" w:sz="0" w:space="4"/>
        <w:bottom w:val="none" w:color="auto" w:sz="0" w:space="1"/>
        <w:right w:val="none" w:color="auto" w:sz="0" w:space="4"/>
      </w:pBd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eastAsia="宋体"/>
        <w:lang w:val="en-US" w:eastAsia="zh-CN"/>
      </w:rPr>
    </w:pPr>
    <w:r>
      <w:rPr>
        <w:rFonts w:hint="eastAsia"/>
        <w:lang w:val="en-US" w:eastAsia="zh-CN"/>
      </w:rPr>
      <w:t xml:space="preserve">                                                                             石家庄财经商贸学校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10C7C2"/>
    <w:multiLevelType w:val="singleLevel"/>
    <w:tmpl w:val="2210C7C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wZWM5YTNhOTBkZDJjYmU0OTE3YTEwOTUyMGU5OTQifQ=="/>
  </w:docVars>
  <w:rsids>
    <w:rsidRoot w:val="00100210"/>
    <w:rsid w:val="00032DC5"/>
    <w:rsid w:val="000369AA"/>
    <w:rsid w:val="0004303D"/>
    <w:rsid w:val="000443CC"/>
    <w:rsid w:val="000740BA"/>
    <w:rsid w:val="00096DF9"/>
    <w:rsid w:val="000C7954"/>
    <w:rsid w:val="000D1E49"/>
    <w:rsid w:val="000F4823"/>
    <w:rsid w:val="00100210"/>
    <w:rsid w:val="00106D80"/>
    <w:rsid w:val="00111F72"/>
    <w:rsid w:val="001240F0"/>
    <w:rsid w:val="00144E6F"/>
    <w:rsid w:val="001674D1"/>
    <w:rsid w:val="00173ADE"/>
    <w:rsid w:val="00185A5E"/>
    <w:rsid w:val="001C1D7A"/>
    <w:rsid w:val="001D31EC"/>
    <w:rsid w:val="00205BDC"/>
    <w:rsid w:val="00215842"/>
    <w:rsid w:val="00256AE1"/>
    <w:rsid w:val="002642B5"/>
    <w:rsid w:val="00270247"/>
    <w:rsid w:val="002C076B"/>
    <w:rsid w:val="002C2950"/>
    <w:rsid w:val="002C70FB"/>
    <w:rsid w:val="002D3BD5"/>
    <w:rsid w:val="002E547F"/>
    <w:rsid w:val="00303F21"/>
    <w:rsid w:val="00310D19"/>
    <w:rsid w:val="0034209D"/>
    <w:rsid w:val="0039446D"/>
    <w:rsid w:val="003974EC"/>
    <w:rsid w:val="003B19CD"/>
    <w:rsid w:val="003B5247"/>
    <w:rsid w:val="003E1855"/>
    <w:rsid w:val="003F30B1"/>
    <w:rsid w:val="003F34B1"/>
    <w:rsid w:val="003F70AE"/>
    <w:rsid w:val="00406E2C"/>
    <w:rsid w:val="004131A4"/>
    <w:rsid w:val="00427B89"/>
    <w:rsid w:val="00437874"/>
    <w:rsid w:val="00441685"/>
    <w:rsid w:val="00444061"/>
    <w:rsid w:val="00455438"/>
    <w:rsid w:val="00473DA8"/>
    <w:rsid w:val="004A081E"/>
    <w:rsid w:val="004A3F01"/>
    <w:rsid w:val="004A7F00"/>
    <w:rsid w:val="004C454F"/>
    <w:rsid w:val="004D55CA"/>
    <w:rsid w:val="004E015D"/>
    <w:rsid w:val="00503079"/>
    <w:rsid w:val="00514ED8"/>
    <w:rsid w:val="00571BAF"/>
    <w:rsid w:val="00581B78"/>
    <w:rsid w:val="005C1BFE"/>
    <w:rsid w:val="005E126F"/>
    <w:rsid w:val="005F298D"/>
    <w:rsid w:val="006076CB"/>
    <w:rsid w:val="006408F8"/>
    <w:rsid w:val="00656CD9"/>
    <w:rsid w:val="00691C72"/>
    <w:rsid w:val="006C416F"/>
    <w:rsid w:val="006D122A"/>
    <w:rsid w:val="006E156C"/>
    <w:rsid w:val="00713B81"/>
    <w:rsid w:val="00732C4A"/>
    <w:rsid w:val="00747A59"/>
    <w:rsid w:val="007D7997"/>
    <w:rsid w:val="008415F4"/>
    <w:rsid w:val="00844648"/>
    <w:rsid w:val="008533CE"/>
    <w:rsid w:val="008614D6"/>
    <w:rsid w:val="008A7114"/>
    <w:rsid w:val="008B6DA4"/>
    <w:rsid w:val="00902908"/>
    <w:rsid w:val="00923E5A"/>
    <w:rsid w:val="009263BB"/>
    <w:rsid w:val="009542C2"/>
    <w:rsid w:val="009576D7"/>
    <w:rsid w:val="0096046B"/>
    <w:rsid w:val="009960D3"/>
    <w:rsid w:val="009C1ADD"/>
    <w:rsid w:val="009C70B9"/>
    <w:rsid w:val="009D52C9"/>
    <w:rsid w:val="00A3043A"/>
    <w:rsid w:val="00A445C7"/>
    <w:rsid w:val="00A822D0"/>
    <w:rsid w:val="00AF42AE"/>
    <w:rsid w:val="00B0289B"/>
    <w:rsid w:val="00B06BF2"/>
    <w:rsid w:val="00B17230"/>
    <w:rsid w:val="00B42E5E"/>
    <w:rsid w:val="00B5098A"/>
    <w:rsid w:val="00B52B47"/>
    <w:rsid w:val="00B9046B"/>
    <w:rsid w:val="00BD39B1"/>
    <w:rsid w:val="00C46046"/>
    <w:rsid w:val="00CB280F"/>
    <w:rsid w:val="00CC065A"/>
    <w:rsid w:val="00D014E2"/>
    <w:rsid w:val="00D22EBC"/>
    <w:rsid w:val="00D32F62"/>
    <w:rsid w:val="00D37ABB"/>
    <w:rsid w:val="00D42C04"/>
    <w:rsid w:val="00D4309A"/>
    <w:rsid w:val="00D72799"/>
    <w:rsid w:val="00D93BBC"/>
    <w:rsid w:val="00DC496D"/>
    <w:rsid w:val="00DC5BD6"/>
    <w:rsid w:val="00DE36EA"/>
    <w:rsid w:val="00DE677C"/>
    <w:rsid w:val="00DF6AB5"/>
    <w:rsid w:val="00DF6C02"/>
    <w:rsid w:val="00E02047"/>
    <w:rsid w:val="00E052B8"/>
    <w:rsid w:val="00E26D88"/>
    <w:rsid w:val="00E47D09"/>
    <w:rsid w:val="00E84F4E"/>
    <w:rsid w:val="00E96D3A"/>
    <w:rsid w:val="00EC2BBA"/>
    <w:rsid w:val="00ED6820"/>
    <w:rsid w:val="00EF0F8C"/>
    <w:rsid w:val="00F444E1"/>
    <w:rsid w:val="00F82C0E"/>
    <w:rsid w:val="00F87C0A"/>
    <w:rsid w:val="00F9175A"/>
    <w:rsid w:val="00F93ED3"/>
    <w:rsid w:val="00FA6E2C"/>
    <w:rsid w:val="00FB6A8C"/>
    <w:rsid w:val="00FD78B9"/>
    <w:rsid w:val="00FE7A39"/>
    <w:rsid w:val="0123324D"/>
    <w:rsid w:val="02D85EB2"/>
    <w:rsid w:val="02EA5917"/>
    <w:rsid w:val="04D81AB7"/>
    <w:rsid w:val="05373B10"/>
    <w:rsid w:val="063E0A32"/>
    <w:rsid w:val="069846F5"/>
    <w:rsid w:val="06E16A66"/>
    <w:rsid w:val="088C4D6A"/>
    <w:rsid w:val="08E94A39"/>
    <w:rsid w:val="091C32AD"/>
    <w:rsid w:val="09467B5D"/>
    <w:rsid w:val="0B430809"/>
    <w:rsid w:val="0B811AED"/>
    <w:rsid w:val="0CD65AC1"/>
    <w:rsid w:val="0CDD0FA5"/>
    <w:rsid w:val="0D3F520E"/>
    <w:rsid w:val="0DF447F8"/>
    <w:rsid w:val="0E160667"/>
    <w:rsid w:val="0E625BB2"/>
    <w:rsid w:val="0EC51CF1"/>
    <w:rsid w:val="0ECB5B6B"/>
    <w:rsid w:val="0F247153"/>
    <w:rsid w:val="0F5B4751"/>
    <w:rsid w:val="102313C5"/>
    <w:rsid w:val="102B5D95"/>
    <w:rsid w:val="10572E1C"/>
    <w:rsid w:val="11A35B3D"/>
    <w:rsid w:val="12C14EC5"/>
    <w:rsid w:val="12FE508A"/>
    <w:rsid w:val="136B7DBC"/>
    <w:rsid w:val="138D6DEC"/>
    <w:rsid w:val="13A4337D"/>
    <w:rsid w:val="149D23A8"/>
    <w:rsid w:val="14D06118"/>
    <w:rsid w:val="151A1B54"/>
    <w:rsid w:val="15B55F3F"/>
    <w:rsid w:val="1623663A"/>
    <w:rsid w:val="164C76BB"/>
    <w:rsid w:val="182F1870"/>
    <w:rsid w:val="183B566C"/>
    <w:rsid w:val="198151FF"/>
    <w:rsid w:val="19AE45A5"/>
    <w:rsid w:val="1A1A0373"/>
    <w:rsid w:val="1A255D39"/>
    <w:rsid w:val="1A8C42F1"/>
    <w:rsid w:val="1B0B196C"/>
    <w:rsid w:val="1B6F1962"/>
    <w:rsid w:val="1D2D5EFB"/>
    <w:rsid w:val="1DDF63ED"/>
    <w:rsid w:val="1FD06747"/>
    <w:rsid w:val="21A41C3A"/>
    <w:rsid w:val="220D77DF"/>
    <w:rsid w:val="22DB371C"/>
    <w:rsid w:val="23024E6A"/>
    <w:rsid w:val="230706D2"/>
    <w:rsid w:val="23B71BC2"/>
    <w:rsid w:val="24092228"/>
    <w:rsid w:val="24CC572F"/>
    <w:rsid w:val="256E6505"/>
    <w:rsid w:val="257858B7"/>
    <w:rsid w:val="25AB7A3A"/>
    <w:rsid w:val="26993D37"/>
    <w:rsid w:val="26B81385"/>
    <w:rsid w:val="27415264"/>
    <w:rsid w:val="276D3C0B"/>
    <w:rsid w:val="295E48AC"/>
    <w:rsid w:val="2B373B1E"/>
    <w:rsid w:val="2B3C2EE3"/>
    <w:rsid w:val="2B4071BA"/>
    <w:rsid w:val="2CD21D51"/>
    <w:rsid w:val="2CD535EF"/>
    <w:rsid w:val="2D0A5F7B"/>
    <w:rsid w:val="2E1D31F2"/>
    <w:rsid w:val="2E54303D"/>
    <w:rsid w:val="2E853376"/>
    <w:rsid w:val="2E9D638E"/>
    <w:rsid w:val="2F204FF5"/>
    <w:rsid w:val="2F997C91"/>
    <w:rsid w:val="2FF6078B"/>
    <w:rsid w:val="2FF63037"/>
    <w:rsid w:val="30516BD9"/>
    <w:rsid w:val="3130246D"/>
    <w:rsid w:val="326C2300"/>
    <w:rsid w:val="329545AB"/>
    <w:rsid w:val="32B141B6"/>
    <w:rsid w:val="332847BE"/>
    <w:rsid w:val="33BE724F"/>
    <w:rsid w:val="33E02FA5"/>
    <w:rsid w:val="347B4A7C"/>
    <w:rsid w:val="355F7A83"/>
    <w:rsid w:val="377A101B"/>
    <w:rsid w:val="37E1109A"/>
    <w:rsid w:val="3A2F7418"/>
    <w:rsid w:val="3ADF74BC"/>
    <w:rsid w:val="3B1479D8"/>
    <w:rsid w:val="3B787F67"/>
    <w:rsid w:val="3D22254D"/>
    <w:rsid w:val="3D4E2867"/>
    <w:rsid w:val="3DF15DAF"/>
    <w:rsid w:val="3E24645A"/>
    <w:rsid w:val="3EDE6333"/>
    <w:rsid w:val="3F0A7128"/>
    <w:rsid w:val="3F4462B2"/>
    <w:rsid w:val="3F921404"/>
    <w:rsid w:val="40EC7E53"/>
    <w:rsid w:val="41585FD8"/>
    <w:rsid w:val="42DE25ED"/>
    <w:rsid w:val="434B5C74"/>
    <w:rsid w:val="43903FD4"/>
    <w:rsid w:val="44016286"/>
    <w:rsid w:val="44123314"/>
    <w:rsid w:val="446C43E1"/>
    <w:rsid w:val="448E07FB"/>
    <w:rsid w:val="456E55CE"/>
    <w:rsid w:val="45B1409B"/>
    <w:rsid w:val="45F428E0"/>
    <w:rsid w:val="46136855"/>
    <w:rsid w:val="47461A98"/>
    <w:rsid w:val="47503B46"/>
    <w:rsid w:val="47954D07"/>
    <w:rsid w:val="486E3F7E"/>
    <w:rsid w:val="48707C11"/>
    <w:rsid w:val="49415E3C"/>
    <w:rsid w:val="49423F82"/>
    <w:rsid w:val="49F16E16"/>
    <w:rsid w:val="4A833B86"/>
    <w:rsid w:val="4B7B0E38"/>
    <w:rsid w:val="4C3929FC"/>
    <w:rsid w:val="4C8F331D"/>
    <w:rsid w:val="4E2207FC"/>
    <w:rsid w:val="4F4E660B"/>
    <w:rsid w:val="4FC703DF"/>
    <w:rsid w:val="4FD55530"/>
    <w:rsid w:val="508E59BA"/>
    <w:rsid w:val="51CC64BF"/>
    <w:rsid w:val="540930BB"/>
    <w:rsid w:val="546E7D01"/>
    <w:rsid w:val="553A466A"/>
    <w:rsid w:val="55857A6A"/>
    <w:rsid w:val="56EA5E07"/>
    <w:rsid w:val="57914433"/>
    <w:rsid w:val="58190ED2"/>
    <w:rsid w:val="581F37ED"/>
    <w:rsid w:val="58353010"/>
    <w:rsid w:val="58477283"/>
    <w:rsid w:val="5AF44BD5"/>
    <w:rsid w:val="5B467F48"/>
    <w:rsid w:val="5D69746A"/>
    <w:rsid w:val="5D6D6DA8"/>
    <w:rsid w:val="608A7C71"/>
    <w:rsid w:val="622928C7"/>
    <w:rsid w:val="64BC23C3"/>
    <w:rsid w:val="658F7382"/>
    <w:rsid w:val="667E1760"/>
    <w:rsid w:val="671E6944"/>
    <w:rsid w:val="6A0C333F"/>
    <w:rsid w:val="6ACF5FB6"/>
    <w:rsid w:val="6BB40184"/>
    <w:rsid w:val="6BD61FBC"/>
    <w:rsid w:val="6C2C15E3"/>
    <w:rsid w:val="6CE150BD"/>
    <w:rsid w:val="6EA35E84"/>
    <w:rsid w:val="6F23306A"/>
    <w:rsid w:val="70A1528F"/>
    <w:rsid w:val="70B7156B"/>
    <w:rsid w:val="70FC60D0"/>
    <w:rsid w:val="713C2FB5"/>
    <w:rsid w:val="71B51B26"/>
    <w:rsid w:val="71DB6FD3"/>
    <w:rsid w:val="71E415DB"/>
    <w:rsid w:val="71F31B1A"/>
    <w:rsid w:val="7229553C"/>
    <w:rsid w:val="72A02B79"/>
    <w:rsid w:val="73F25315"/>
    <w:rsid w:val="74196E47"/>
    <w:rsid w:val="74685495"/>
    <w:rsid w:val="75EA4FE2"/>
    <w:rsid w:val="76003C61"/>
    <w:rsid w:val="76296BDC"/>
    <w:rsid w:val="76524935"/>
    <w:rsid w:val="766D277C"/>
    <w:rsid w:val="76726D86"/>
    <w:rsid w:val="773F3B6C"/>
    <w:rsid w:val="77660A29"/>
    <w:rsid w:val="77A12513"/>
    <w:rsid w:val="794F076B"/>
    <w:rsid w:val="79541036"/>
    <w:rsid w:val="79E8523D"/>
    <w:rsid w:val="7B5829EE"/>
    <w:rsid w:val="7B95779E"/>
    <w:rsid w:val="7BF0749C"/>
    <w:rsid w:val="7CCB794F"/>
    <w:rsid w:val="7D225EC3"/>
    <w:rsid w:val="7D7655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1"/>
    <w:pPr>
      <w:ind w:left="758" w:right="765"/>
      <w:outlineLvl w:val="0"/>
    </w:pPr>
    <w:rPr>
      <w:rFonts w:ascii="宋体" w:hAnsi="宋体" w:cs="宋体"/>
      <w:sz w:val="44"/>
      <w:szCs w:val="44"/>
      <w:lang w:val="zh-CN" w:bidi="zh-CN"/>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9"/>
    <w:unhideWhenUsed/>
    <w:qFormat/>
    <w:uiPriority w:val="1"/>
    <w:pPr>
      <w:spacing w:after="120"/>
    </w:pPr>
  </w:style>
  <w:style w:type="paragraph" w:styleId="4">
    <w:name w:val="toc 3"/>
    <w:basedOn w:val="1"/>
    <w:next w:val="1"/>
    <w:semiHidden/>
    <w:unhideWhenUsed/>
    <w:qFormat/>
    <w:uiPriority w:val="39"/>
    <w:pPr>
      <w:ind w:left="840" w:leftChars="400"/>
    </w:pPr>
  </w:style>
  <w:style w:type="paragraph" w:styleId="5">
    <w:name w:val="Balloon Text"/>
    <w:basedOn w:val="1"/>
    <w:link w:val="17"/>
    <w:semiHidden/>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semiHidden/>
    <w:unhideWhenUsed/>
    <w:qFormat/>
    <w:uiPriority w:val="39"/>
  </w:style>
  <w:style w:type="paragraph" w:styleId="9">
    <w:name w:val="toc 2"/>
    <w:basedOn w:val="1"/>
    <w:next w:val="1"/>
    <w:semiHidden/>
    <w:unhideWhenUsed/>
    <w:qFormat/>
    <w:uiPriority w:val="39"/>
    <w:pPr>
      <w:ind w:left="420" w:leftChars="200"/>
    </w:p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bCs/>
    </w:rPr>
  </w:style>
  <w:style w:type="character" w:styleId="14">
    <w:name w:val="Hyperlink"/>
    <w:basedOn w:val="12"/>
    <w:semiHidden/>
    <w:unhideWhenUsed/>
    <w:qFormat/>
    <w:uiPriority w:val="99"/>
    <w:rPr>
      <w:color w:val="0000FF"/>
      <w:u w:val="single"/>
    </w:rPr>
  </w:style>
  <w:style w:type="character" w:customStyle="1" w:styleId="15">
    <w:name w:val="页眉 字符"/>
    <w:basedOn w:val="12"/>
    <w:link w:val="7"/>
    <w:qFormat/>
    <w:uiPriority w:val="99"/>
    <w:rPr>
      <w:rFonts w:ascii="Calibri" w:hAnsi="Calibri" w:eastAsia="宋体" w:cs="Times New Roman"/>
      <w:sz w:val="18"/>
      <w:szCs w:val="18"/>
    </w:rPr>
  </w:style>
  <w:style w:type="character" w:customStyle="1" w:styleId="16">
    <w:name w:val="页脚 字符"/>
    <w:basedOn w:val="12"/>
    <w:link w:val="6"/>
    <w:qFormat/>
    <w:uiPriority w:val="99"/>
    <w:rPr>
      <w:rFonts w:ascii="Calibri" w:hAnsi="Calibri" w:eastAsia="宋体" w:cs="Times New Roman"/>
      <w:sz w:val="18"/>
      <w:szCs w:val="18"/>
    </w:rPr>
  </w:style>
  <w:style w:type="character" w:customStyle="1" w:styleId="17">
    <w:name w:val="批注框文本 字符"/>
    <w:basedOn w:val="12"/>
    <w:link w:val="5"/>
    <w:semiHidden/>
    <w:qFormat/>
    <w:uiPriority w:val="99"/>
    <w:rPr>
      <w:rFonts w:ascii="Calibri" w:hAnsi="Calibri" w:eastAsia="宋体" w:cs="Times New Roman"/>
      <w:sz w:val="18"/>
      <w:szCs w:val="18"/>
    </w:rPr>
  </w:style>
  <w:style w:type="paragraph" w:customStyle="1" w:styleId="18">
    <w:name w:val="b"/>
    <w:basedOn w:val="1"/>
    <w:qFormat/>
    <w:uiPriority w:val="0"/>
    <w:pPr>
      <w:spacing w:line="360" w:lineRule="auto"/>
      <w:ind w:firstLine="200" w:firstLineChars="200"/>
    </w:pPr>
    <w:rPr>
      <w:rFonts w:ascii="Times New Roman" w:hAnsi="Times New Roman" w:eastAsia="华文行楷"/>
      <w:szCs w:val="24"/>
    </w:rPr>
  </w:style>
  <w:style w:type="character" w:customStyle="1" w:styleId="19">
    <w:name w:val="正文文本 字符"/>
    <w:basedOn w:val="12"/>
    <w:link w:val="3"/>
    <w:qFormat/>
    <w:uiPriority w:val="1"/>
    <w:rPr>
      <w:rFonts w:ascii="Calibri" w:hAnsi="Calibri" w:eastAsia="宋体" w:cs="Times New Roman"/>
    </w:rPr>
  </w:style>
  <w:style w:type="paragraph" w:styleId="20">
    <w:name w:val="List Paragraph"/>
    <w:basedOn w:val="1"/>
    <w:qFormat/>
    <w:uiPriority w:val="34"/>
    <w:pPr>
      <w:ind w:firstLine="420" w:firstLineChars="200"/>
    </w:pPr>
  </w:style>
  <w:style w:type="character" w:customStyle="1" w:styleId="21">
    <w:name w:val="font21"/>
    <w:basedOn w:val="12"/>
    <w:qFormat/>
    <w:uiPriority w:val="0"/>
    <w:rPr>
      <w:rFonts w:ascii="Calibri" w:hAnsi="Calibri" w:cs="Calibri"/>
      <w:color w:val="000000"/>
      <w:sz w:val="22"/>
      <w:szCs w:val="22"/>
      <w:u w:val="none"/>
    </w:rPr>
  </w:style>
  <w:style w:type="character" w:customStyle="1" w:styleId="22">
    <w:name w:val="font31"/>
    <w:basedOn w:val="12"/>
    <w:qFormat/>
    <w:uiPriority w:val="0"/>
    <w:rPr>
      <w:rFonts w:hint="eastAsia" w:ascii="宋体" w:hAnsi="宋体" w:eastAsia="宋体" w:cs="宋体"/>
      <w:color w:val="000000"/>
      <w:sz w:val="22"/>
      <w:szCs w:val="22"/>
      <w:u w:val="none"/>
    </w:rPr>
  </w:style>
  <w:style w:type="character" w:customStyle="1" w:styleId="23">
    <w:name w:val="font41"/>
    <w:basedOn w:val="12"/>
    <w:qFormat/>
    <w:uiPriority w:val="0"/>
    <w:rPr>
      <w:rFonts w:hint="eastAsia" w:ascii="宋体" w:hAnsi="宋体" w:eastAsia="宋体" w:cs="宋体"/>
      <w:color w:val="000000"/>
      <w:sz w:val="30"/>
      <w:szCs w:val="30"/>
      <w:u w:val="none"/>
    </w:rPr>
  </w:style>
  <w:style w:type="paragraph" w:customStyle="1" w:styleId="24">
    <w:name w:val="WPSOffice手动目录 1"/>
    <w:qFormat/>
    <w:uiPriority w:val="0"/>
    <w:pPr>
      <w:ind w:leftChars="0"/>
    </w:pPr>
    <w:rPr>
      <w:rFonts w:ascii="Times New Roman" w:hAnsi="Times New Roman" w:eastAsia="宋体" w:cs="Times New Roman"/>
      <w:sz w:val="20"/>
      <w:szCs w:val="20"/>
    </w:rPr>
  </w:style>
  <w:style w:type="paragraph" w:customStyle="1" w:styleId="25">
    <w:name w:val="WPSOffice手动目录 2"/>
    <w:qFormat/>
    <w:uiPriority w:val="0"/>
    <w:pPr>
      <w:ind w:leftChars="200"/>
    </w:pPr>
    <w:rPr>
      <w:rFonts w:ascii="Times New Roman" w:hAnsi="Times New Roman" w:eastAsia="宋体" w:cs="Times New Roman"/>
      <w:sz w:val="20"/>
      <w:szCs w:val="20"/>
    </w:rPr>
  </w:style>
  <w:style w:type="paragraph" w:customStyle="1" w:styleId="26">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66E856-85F1-4140-870C-932F9E89B555}">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22</Pages>
  <Words>11533</Words>
  <Characters>11852</Characters>
  <Lines>70</Lines>
  <Paragraphs>19</Paragraphs>
  <TotalTime>7</TotalTime>
  <ScaleCrop>false</ScaleCrop>
  <LinksUpToDate>false</LinksUpToDate>
  <CharactersWithSpaces>12315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2020-05-01T02:55:00Z</dcterms:created>
  <dc:creator>HP</dc:creator>
  <cp:lastModifiedBy>payson</cp:lastModifiedBy>
  <dcterms:modified xsi:type="dcterms:W3CDTF">2023-10-16T08:46:04Z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B574BF43E1BA4B108AFB897567076DED</vt:lpwstr>
  </property>
</Properties>
</file>