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ascii="宋体" w:hAnsi="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22级纳税</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专业名称：纳税事务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ascii="仿宋" w:hAnsi="仿宋" w:eastAsia="仿宋" w:cs="仿宋"/>
          <w:bCs/>
          <w:color w:val="000000" w:themeColor="text1"/>
          <w:sz w:val="32"/>
          <w:szCs w:val="32"/>
          <w14:textFill>
            <w14:solidFill>
              <w14:schemeClr w14:val="tx1"/>
            </w14:solidFill>
          </w14:textFill>
        </w:rPr>
        <w:t>730101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73财经商贸大类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7301</w:t>
            </w:r>
            <w:r>
              <w:rPr>
                <w:rFonts w:ascii="仿宋" w:hAnsi="仿宋" w:eastAsia="仿宋" w:cs="仿宋"/>
                <w:bCs/>
                <w:color w:val="000000" w:themeColor="text1"/>
                <w:kern w:val="0"/>
                <w:sz w:val="24"/>
                <w:szCs w:val="24"/>
                <w14:textFill>
                  <w14:solidFill>
                    <w14:schemeClr w14:val="tx1"/>
                  </w14:solidFill>
                </w14:textFill>
              </w:rPr>
              <w:t xml:space="preserve"> </w:t>
            </w:r>
            <w:r>
              <w:rPr>
                <w:rFonts w:hint="eastAsia" w:ascii="仿宋" w:hAnsi="仿宋" w:eastAsia="仿宋" w:cs="仿宋"/>
                <w:bCs/>
                <w:color w:val="000000" w:themeColor="text1"/>
                <w:kern w:val="0"/>
                <w:sz w:val="24"/>
                <w:szCs w:val="24"/>
                <w14:textFill>
                  <w14:solidFill>
                    <w14:schemeClr w14:val="tx1"/>
                  </w14:solidFill>
                </w14:textFill>
              </w:rPr>
              <w:t>财政税务类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主要岗位类别</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纳税事项办理、税务代理、税务咨询、税费核算、代理记账、数据共享等岗位群。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职业资格证书或技能等级证书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财务共享服务职业技能等级证书、智能财税职业技能等级证书等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其他证书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全国计算机应用等级证书、普通话证书等</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五、培养目标与培养规格</w:t>
      </w:r>
    </w:p>
    <w:p>
      <w:pPr>
        <w:spacing w:line="560" w:lineRule="exact"/>
        <w:ind w:firstLine="640" w:firstLineChars="200"/>
        <w:jc w:val="left"/>
        <w:rPr>
          <w:rFonts w:ascii="Times New Roman" w:hAnsi="Times New Roman"/>
          <w:color w:val="000000"/>
          <w:kern w:val="0"/>
          <w:sz w:val="24"/>
          <w:szCs w:val="24"/>
          <w:lang w:bidi="ar"/>
        </w:rPr>
      </w:pPr>
      <w:r>
        <w:rPr>
          <w:rFonts w:hint="eastAsia" w:ascii="楷体" w:hAnsi="楷体" w:eastAsia="楷体" w:cs="楷体"/>
          <w:color w:val="000000" w:themeColor="text1"/>
          <w:sz w:val="32"/>
          <w:szCs w:val="32"/>
          <w14:textFill>
            <w14:solidFill>
              <w14:schemeClr w14:val="tx1"/>
            </w14:solidFill>
          </w14:textFill>
        </w:rPr>
        <w:t>（一）培养目标</w:t>
      </w:r>
      <w:r>
        <w:rPr>
          <w:rFonts w:ascii="Times New Roman" w:hAnsi="Times New Roman"/>
          <w:color w:val="000000"/>
          <w:kern w:val="0"/>
          <w:sz w:val="24"/>
          <w:szCs w:val="24"/>
          <w:lang w:bidi="ar"/>
        </w:rPr>
        <w:t xml:space="preserve"> </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财经法律法规、纳税事项办理、税务代理、会计核算、大数据应用等知识，具备办理纳税事项、管理财税票证、代理会计核算、申报缴纳税费等能力，具有工匠精神和信息素养，能够从事纳税事项办理、税费核算与缴纳、税务咨询与服务、财税文书撰写、数据分析等工作的技术技能人才。</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（二）培养规格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专业知识</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1.掌握会计基本核算方法、核算程序等专业基础知识；</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2.熟悉与会计职业相关的财经法律法规、企业会计准则、小企业会计准则、会计基础工作规范等知识；</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3.具有Office、Excel、Word等常用办公软件使用基本知识。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能力目标</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.掌握票据法知识和电子发票处理的基本技能，具有各类票、表、单、证、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文书的填制及审核等财税票证使用与管理工作能力；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.掌握纳税服务事项办理的基础知识和税务咨询基本技能，具有代理报税、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发票代办、工商服务、银行事务办理、资质办理等税务事项代办服务的工作能力；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.掌握财税共享服务基础知识和智能化技术应用的基本技能，具有票据扫描整理、自动记账审核、电子档案管理等财税共享服务工作能力；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.掌握税收征管知识和纳税管理的基本技能，具有税收优惠办理、税务风险防范及消除、税务检查应对及常规业务筹划等企业纳税管理工作能力；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.掌握企业所得税征纳知识和企业所得税纳税调整的基本技能，具有企业所得税年度纳税申报及汇算清缴的工作能力；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.掌握现代信息技术基础知识和财税领域数字技能，具有应用新技术、新方法分析解决纳税事务办理新问题的工作能力。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职业素养</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1.掌握从事本专业职业活动相关的国家法律及行业规定，掌握环境保护、数据安全、质量管理等相关知识与技能，具有履行社会责任的能力；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2.爱岗敬业，诚实守信，廉洁自律，坚持准则，具有严谨细致、客观公正的职业精神和强化服务、参与管理的职业意识；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3.具有终身学习和可持续发展的能力。</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六、课程设置及要求</w:t>
      </w:r>
    </w:p>
    <w:p>
      <w:pPr>
        <w:spacing w:line="560" w:lineRule="exact"/>
        <w:ind w:firstLine="640" w:firstLineChars="200"/>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（一）公共基础课程</w:t>
      </w:r>
    </w:p>
    <w:tbl>
      <w:tblPr>
        <w:tblStyle w:val="7"/>
        <w:tblW w:w="8561" w:type="dxa"/>
        <w:jc w:val="center"/>
        <w:tblLayout w:type="autofit"/>
        <w:tblCellMar>
          <w:top w:w="0" w:type="dxa"/>
          <w:left w:w="108" w:type="dxa"/>
          <w:bottom w:w="0" w:type="dxa"/>
          <w:right w:w="108" w:type="dxa"/>
        </w:tblCellMar>
      </w:tblPr>
      <w:tblGrid>
        <w:gridCol w:w="787"/>
        <w:gridCol w:w="1275"/>
        <w:gridCol w:w="6499"/>
      </w:tblGrid>
      <w:tr>
        <w:tblPrEx>
          <w:tblCellMar>
            <w:top w:w="0" w:type="dxa"/>
            <w:left w:w="108" w:type="dxa"/>
            <w:bottom w:w="0" w:type="dxa"/>
            <w:right w:w="108" w:type="dxa"/>
          </w:tblCellMar>
        </w:tblPrEx>
        <w:trPr>
          <w:trHeight w:val="776"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30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数学</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依据《中等职业学校数学课程标准(2020年版)》开设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w:t>
            </w:r>
            <w:r>
              <w:rPr>
                <w:rFonts w:hint="eastAsia" w:ascii="仿宋" w:hAnsi="仿宋" w:eastAsia="仿宋" w:cs="仿宋"/>
                <w:color w:val="000000"/>
                <w:kern w:val="0"/>
                <w:sz w:val="24"/>
                <w:szCs w:val="24"/>
                <w:lang w:val="en-US" w:eastAsia="zh-CN" w:bidi="ar"/>
              </w:rPr>
              <w:t>获得进一步学习和</w:t>
            </w:r>
            <w:r>
              <w:rPr>
                <w:rFonts w:hint="eastAsia" w:ascii="仿宋" w:hAnsi="仿宋" w:eastAsia="仿宋" w:cs="仿宋"/>
                <w:color w:val="000000"/>
                <w:kern w:val="0"/>
                <w:sz w:val="24"/>
                <w:szCs w:val="24"/>
                <w:lang w:bidi="ar"/>
              </w:rPr>
              <w:t>职业发展所必需的数学知识、数学技能、数学方法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数学思想和</w:t>
            </w:r>
            <w:r>
              <w:rPr>
                <w:rFonts w:hint="eastAsia" w:ascii="仿宋" w:hAnsi="仿宋" w:eastAsia="仿宋" w:cs="仿宋"/>
                <w:color w:val="000000"/>
                <w:kern w:val="0"/>
                <w:sz w:val="24"/>
                <w:szCs w:val="24"/>
                <w:lang w:val="en-US" w:eastAsia="zh-CN" w:bidi="ar"/>
              </w:rPr>
              <w:t>活动经验</w:t>
            </w:r>
            <w:r>
              <w:rPr>
                <w:rFonts w:hint="eastAsia" w:ascii="仿宋" w:hAnsi="仿宋" w:eastAsia="仿宋" w:cs="仿宋"/>
                <w:color w:val="000000"/>
                <w:kern w:val="0"/>
                <w:sz w:val="24"/>
                <w:szCs w:val="24"/>
                <w:lang w:bidi="ar"/>
              </w:rPr>
              <w:t>，具备中等职业教育数学学科核心素养，形成在继续学习和未来工作中运用数学知识和经验发现问题的意识、运用数学的思想方法和工具解决问题的能力。</w:t>
            </w:r>
          </w:p>
        </w:tc>
      </w:tr>
      <w:tr>
        <w:tblPrEx>
          <w:tblCellMar>
            <w:top w:w="0" w:type="dxa"/>
            <w:left w:w="108" w:type="dxa"/>
            <w:bottom w:w="0" w:type="dxa"/>
            <w:right w:w="108" w:type="dxa"/>
          </w:tblCellMar>
        </w:tblPrEx>
        <w:trPr>
          <w:trHeight w:val="1873"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语文</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依据《中等职业学校语文课程标准(2020年版)》开设。通过阅读与欣赏、表达与交流和语文综合实践等学习活动，使学生具有较强的语言文字运用能力和思维能力，能够传承中华民族优秀</w:t>
            </w:r>
            <w:r>
              <w:rPr>
                <w:rFonts w:hint="eastAsia" w:ascii="仿宋" w:hAnsi="仿宋" w:eastAsia="仿宋" w:cs="仿宋"/>
                <w:color w:val="000000"/>
                <w:kern w:val="0"/>
                <w:sz w:val="24"/>
                <w:szCs w:val="24"/>
                <w:lang w:val="en-US" w:eastAsia="zh-CN" w:bidi="ar"/>
              </w:rPr>
              <w:t>文化</w:t>
            </w:r>
            <w:r>
              <w:rPr>
                <w:rFonts w:hint="eastAsia" w:ascii="仿宋" w:hAnsi="仿宋" w:eastAsia="仿宋" w:cs="仿宋"/>
                <w:color w:val="000000"/>
                <w:kern w:val="0"/>
                <w:sz w:val="24"/>
                <w:szCs w:val="24"/>
                <w:lang w:bidi="ar"/>
              </w:rPr>
              <w:t>，吸收人类进步文化，提高人文素养，养成良好道德品质，成为全面发展的高素质技能技术人才</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744"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英语</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依据《中等职业学校语英语课程标准(2020年版)》开设。通过本课程学习，使学生掌握一定的英语基础知识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提高听、说、读、写等语言技能，</w:t>
            </w:r>
            <w:r>
              <w:rPr>
                <w:rFonts w:hint="eastAsia" w:ascii="仿宋" w:hAnsi="仿宋" w:eastAsia="仿宋" w:cs="仿宋"/>
                <w:color w:val="000000"/>
                <w:kern w:val="0"/>
                <w:sz w:val="24"/>
                <w:szCs w:val="24"/>
                <w:lang w:bidi="ar"/>
              </w:rPr>
              <w:t>培养学生在日常生活和职业场景中的英语应用能力</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发展英语学科核心素养，为</w:t>
            </w:r>
            <w:r>
              <w:rPr>
                <w:rFonts w:hint="eastAsia" w:ascii="仿宋" w:hAnsi="仿宋" w:eastAsia="仿宋" w:cs="仿宋"/>
                <w:color w:val="000000"/>
                <w:kern w:val="0"/>
                <w:sz w:val="24"/>
                <w:szCs w:val="24"/>
                <w:lang w:bidi="ar"/>
              </w:rPr>
              <w:t>学生的职业生涯、继续学习和终身发展莫定基础</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377"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信息技术</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依据《中等职业学校信息技术课程标准(2020 年版)》开设。通过本课程学习，使学生掌握必备的计算机应用基础知识和基本技能，培养学生</w:t>
            </w:r>
            <w:r>
              <w:rPr>
                <w:rFonts w:hint="eastAsia" w:ascii="仿宋" w:hAnsi="仿宋" w:eastAsia="仿宋" w:cs="仿宋"/>
                <w:color w:val="000000"/>
                <w:kern w:val="0"/>
                <w:sz w:val="24"/>
                <w:szCs w:val="24"/>
                <w:lang w:val="en-US" w:eastAsia="zh-CN" w:bidi="ar"/>
              </w:rPr>
              <w:t>符合时代要求的信息素养和</w:t>
            </w:r>
            <w:r>
              <w:rPr>
                <w:rFonts w:hint="eastAsia" w:ascii="仿宋" w:hAnsi="仿宋" w:eastAsia="仿宋" w:cs="仿宋"/>
                <w:color w:val="000000"/>
                <w:w w:val="90"/>
                <w:kern w:val="0"/>
                <w:sz w:val="24"/>
                <w:szCs w:val="24"/>
                <w:lang w:val="en-US" w:eastAsia="zh-CN" w:bidi="ar"/>
              </w:rPr>
              <w:t>适应职业发展需要的信息能力。</w:t>
            </w:r>
          </w:p>
        </w:tc>
      </w:tr>
      <w:tr>
        <w:tblPrEx>
          <w:tblCellMar>
            <w:top w:w="0" w:type="dxa"/>
            <w:left w:w="108" w:type="dxa"/>
            <w:bottom w:w="0" w:type="dxa"/>
            <w:right w:w="108" w:type="dxa"/>
          </w:tblCellMar>
        </w:tblPrEx>
        <w:trPr>
          <w:trHeight w:val="3142"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r>
      <w:tr>
        <w:tblPrEx>
          <w:tblCellMar>
            <w:top w:w="0" w:type="dxa"/>
            <w:left w:w="108" w:type="dxa"/>
            <w:bottom w:w="0" w:type="dxa"/>
            <w:right w:w="108" w:type="dxa"/>
          </w:tblCellMar>
        </w:tblPrEx>
        <w:trPr>
          <w:trHeight w:val="2362"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心理健康与职业生涯</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心理健康的基本知识、方法和意识的教育，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r>
      <w:tr>
        <w:tblPrEx>
          <w:tblCellMar>
            <w:top w:w="0" w:type="dxa"/>
            <w:left w:w="108" w:type="dxa"/>
            <w:bottom w:w="0" w:type="dxa"/>
            <w:right w:w="108" w:type="dxa"/>
          </w:tblCellMar>
        </w:tblPrEx>
        <w:trPr>
          <w:trHeight w:val="2367"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哲学与人生</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r>
      <w:tr>
        <w:tblPrEx>
          <w:tblCellMar>
            <w:top w:w="0" w:type="dxa"/>
            <w:left w:w="108" w:type="dxa"/>
            <w:bottom w:w="0" w:type="dxa"/>
            <w:right w:w="108" w:type="dxa"/>
          </w:tblCellMar>
        </w:tblPrEx>
        <w:trPr>
          <w:trHeight w:val="1656"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职业道德与法治</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(2020年版)》开设。通过本课程学习，使学生掌握职业道德的作用和基本规范，增强职业道德和法治意识，养成爱岗敬业、依法办事的思维方式和行为习惯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成为懂法、守法、用法的公民。</w:t>
            </w:r>
          </w:p>
        </w:tc>
      </w:tr>
      <w:tr>
        <w:tblPrEx>
          <w:tblCellMar>
            <w:top w:w="0" w:type="dxa"/>
            <w:left w:w="108" w:type="dxa"/>
            <w:bottom w:w="0" w:type="dxa"/>
            <w:right w:w="108" w:type="dxa"/>
          </w:tblCellMar>
        </w:tblPrEx>
        <w:trPr>
          <w:trHeight w:val="1993"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体育与健康</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体育与健康课程标准(2020年版)》开设。通过本课程学习，使学生掌握体育基本理论知识、技术、技能和科学锻炼身体的方法，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3069"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highlight w:val="none"/>
                <w:lang w:bidi="ar"/>
              </w:rPr>
              <w:t>历史</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依据《中等职业学校历史课程标准(2020 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通过本课程学习，使学生了解人类社会发展的基本脉络和优秀文化传统，从历史的角度了解和思考人与人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人与社会、人与自然的关系，增强历史使命感和社会责任感;培育社会主义核心价值观，进一步弘扬以爱国主义为核心的民族精神和以改革创新为核心的时代精神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培养健全的人格，树立正确的历史观、人生观和价值观，为中等职业学校学生未来的学习、工作和生活打下基础。</w:t>
            </w:r>
          </w:p>
        </w:tc>
      </w:tr>
      <w:tr>
        <w:tblPrEx>
          <w:tblCellMar>
            <w:top w:w="0" w:type="dxa"/>
            <w:left w:w="108" w:type="dxa"/>
            <w:bottom w:w="0" w:type="dxa"/>
            <w:right w:w="108" w:type="dxa"/>
          </w:tblCellMar>
        </w:tblPrEx>
        <w:trPr>
          <w:trHeight w:val="1542"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音乐欣赏</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学生通过聆听中外经典音乐作品，参与音乐鉴赏与实践活动，认识音乐的基本功能与作用，获得精神愉悦，提高审美情趣和音乐实践能力。</w:t>
            </w:r>
          </w:p>
        </w:tc>
      </w:tr>
      <w:tr>
        <w:tblPrEx>
          <w:tblCellMar>
            <w:top w:w="0" w:type="dxa"/>
            <w:left w:w="108" w:type="dxa"/>
            <w:bottom w:w="0" w:type="dxa"/>
            <w:right w:w="108" w:type="dxa"/>
          </w:tblCellMar>
        </w:tblPrEx>
        <w:trPr>
          <w:trHeight w:val="1159"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美术欣赏</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学生通过观察、体验、赏析、评判等活动，学习美术知识和技能，欣赏美术作品，了解作品主题，感悟作品情感，理解作品内涵，认识美术的基本功能与作用，提高审美情趣和美术实践能力。</w:t>
            </w:r>
          </w:p>
        </w:tc>
      </w:tr>
      <w:tr>
        <w:tblPrEx>
          <w:tblCellMar>
            <w:top w:w="0" w:type="dxa"/>
            <w:left w:w="108" w:type="dxa"/>
            <w:bottom w:w="0" w:type="dxa"/>
            <w:right w:w="108" w:type="dxa"/>
          </w:tblCellMar>
        </w:tblPrEx>
        <w:trPr>
          <w:trHeight w:val="936"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书法</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通过本课程学习，使学生了解汉字的结构规律，养成良好的书写习惯,写得一手好字。</w:t>
            </w:r>
          </w:p>
        </w:tc>
      </w:tr>
      <w:tr>
        <w:tblPrEx>
          <w:tblCellMar>
            <w:top w:w="0" w:type="dxa"/>
            <w:left w:w="108" w:type="dxa"/>
            <w:bottom w:w="0" w:type="dxa"/>
            <w:right w:w="108" w:type="dxa"/>
          </w:tblCellMar>
        </w:tblPrEx>
        <w:trPr>
          <w:trHeight w:val="1159"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礼乐修身</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通过本课程学习，使学生掌握中外礼仪基本概况及礼仪的核心精神，使学生成为有教养、有修养、有素养、有涵养的合格职业人。</w:t>
            </w:r>
          </w:p>
        </w:tc>
      </w:tr>
      <w:tr>
        <w:tblPrEx>
          <w:tblCellMar>
            <w:top w:w="0" w:type="dxa"/>
            <w:left w:w="108" w:type="dxa"/>
            <w:bottom w:w="0" w:type="dxa"/>
            <w:right w:w="108" w:type="dxa"/>
          </w:tblCellMar>
        </w:tblPrEx>
        <w:trPr>
          <w:trHeight w:val="155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劳动教育</w:t>
            </w:r>
          </w:p>
        </w:tc>
        <w:tc>
          <w:tcPr>
            <w:tcW w:w="6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劳动教育以实习实训课为主要载体开展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通过劳动精神、劳模精神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工匠精神</w:t>
            </w:r>
            <w:r>
              <w:rPr>
                <w:rFonts w:hint="eastAsia" w:ascii="仿宋" w:hAnsi="仿宋" w:eastAsia="仿宋" w:cs="仿宋"/>
                <w:color w:val="000000"/>
                <w:kern w:val="0"/>
                <w:sz w:val="24"/>
                <w:szCs w:val="24"/>
                <w:lang w:val="en-US" w:eastAsia="zh-CN" w:bidi="ar"/>
              </w:rPr>
              <w:t>等</w:t>
            </w:r>
            <w:r>
              <w:rPr>
                <w:rFonts w:hint="eastAsia" w:ascii="仿宋" w:hAnsi="仿宋" w:eastAsia="仿宋" w:cs="仿宋"/>
                <w:color w:val="000000"/>
                <w:kern w:val="0"/>
                <w:sz w:val="24"/>
                <w:szCs w:val="24"/>
                <w:lang w:bidi="ar"/>
              </w:rPr>
              <w:t>专题教育学习，使学生</w:t>
            </w:r>
            <w:r>
              <w:rPr>
                <w:rFonts w:hint="eastAsia" w:ascii="仿宋" w:hAnsi="仿宋" w:eastAsia="仿宋" w:cs="仿宋"/>
                <w:i w:val="0"/>
                <w:iCs w:val="0"/>
                <w:color w:val="000000"/>
                <w:kern w:val="0"/>
                <w:sz w:val="24"/>
                <w:szCs w:val="24"/>
                <w:u w:val="none"/>
                <w:lang w:val="en-US" w:eastAsia="zh-CN" w:bidi="ar"/>
              </w:rPr>
              <w:t>在劳动中接受锻炼、磨炼意志，懂得劳动创造美好生活的道理，并培养良好的劳动品质。</w:t>
            </w:r>
          </w:p>
        </w:tc>
      </w:tr>
    </w:tbl>
    <w:p>
      <w:pPr>
        <w:numPr>
          <w:ilvl w:val="0"/>
          <w:numId w:val="1"/>
        </w:num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专业（技能）课程</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1.专业理论课程</w:t>
      </w:r>
    </w:p>
    <w:tbl>
      <w:tblPr>
        <w:tblStyle w:val="7"/>
        <w:tblW w:w="8441" w:type="dxa"/>
        <w:jc w:val="center"/>
        <w:tblLayout w:type="autofit"/>
        <w:tblCellMar>
          <w:top w:w="0" w:type="dxa"/>
          <w:left w:w="108" w:type="dxa"/>
          <w:bottom w:w="0" w:type="dxa"/>
          <w:right w:w="108" w:type="dxa"/>
        </w:tblCellMar>
      </w:tblPr>
      <w:tblGrid>
        <w:gridCol w:w="839"/>
        <w:gridCol w:w="2037"/>
        <w:gridCol w:w="5565"/>
      </w:tblGrid>
      <w:tr>
        <w:tblPrEx>
          <w:tblCellMar>
            <w:top w:w="0" w:type="dxa"/>
            <w:left w:w="108" w:type="dxa"/>
            <w:bottom w:w="0" w:type="dxa"/>
            <w:right w:w="108" w:type="dxa"/>
          </w:tblCellMar>
        </w:tblPrEx>
        <w:trPr>
          <w:trHeight w:val="59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207"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了解会计工作职责与要求，熟悉会计核算工作程序；会填制与审核原始凭证；会运用借贷记账法填制记账凭证；会登记会计账簿；会编制简单资产负债表和利润表。</w:t>
            </w:r>
          </w:p>
        </w:tc>
      </w:tr>
      <w:tr>
        <w:tblPrEx>
          <w:tblCellMar>
            <w:top w:w="0" w:type="dxa"/>
            <w:left w:w="108" w:type="dxa"/>
            <w:bottom w:w="0" w:type="dxa"/>
            <w:right w:w="108" w:type="dxa"/>
          </w:tblCellMar>
        </w:tblPrEx>
        <w:trPr>
          <w:trHeight w:val="929"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企业财务会计</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掌握企业资产、负债、所有者权益、收入、费用、利润等方面主要经济业务的账务处理方法和企业主要会计报表的编制方法。</w:t>
            </w:r>
          </w:p>
        </w:tc>
      </w:tr>
      <w:tr>
        <w:tblPrEx>
          <w:tblCellMar>
            <w:top w:w="0" w:type="dxa"/>
            <w:left w:w="108" w:type="dxa"/>
            <w:bottom w:w="0" w:type="dxa"/>
            <w:right w:w="108" w:type="dxa"/>
          </w:tblCellMar>
        </w:tblPrEx>
        <w:trPr>
          <w:trHeight w:val="743"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税费计算与</w:t>
            </w:r>
            <w:r>
              <w:rPr>
                <w:rFonts w:hint="eastAsia" w:ascii="仿宋" w:hAnsi="仿宋" w:eastAsia="仿宋" w:cs="仿宋"/>
                <w:color w:val="000000"/>
                <w:kern w:val="0"/>
                <w:sz w:val="24"/>
                <w:szCs w:val="24"/>
                <w:lang w:val="en-US" w:eastAsia="zh-CN" w:bidi="ar"/>
              </w:rPr>
              <w:t>缴纳</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10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财经法规与会计职业道德</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r>
        <w:tblPrEx>
          <w:tblCellMar>
            <w:top w:w="0" w:type="dxa"/>
            <w:left w:w="108" w:type="dxa"/>
            <w:bottom w:w="0" w:type="dxa"/>
            <w:right w:w="108" w:type="dxa"/>
          </w:tblCellMar>
        </w:tblPrEx>
        <w:trPr>
          <w:trHeight w:val="941"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统计基础</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理解企业统计指标经济含义；能够熟练运用Excel整理和应用企业统计信息；会编制和报送小企业统计报表。</w:t>
            </w:r>
          </w:p>
        </w:tc>
      </w:tr>
      <w:tr>
        <w:tblPrEx>
          <w:tblCellMar>
            <w:top w:w="0" w:type="dxa"/>
            <w:left w:w="108" w:type="dxa"/>
            <w:bottom w:w="0" w:type="dxa"/>
            <w:right w:w="108" w:type="dxa"/>
          </w:tblCellMar>
        </w:tblPrEx>
        <w:trPr>
          <w:trHeight w:val="474"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小企业纳税管理</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了解小企业税务办理的相关程序和方法</w:t>
            </w:r>
          </w:p>
        </w:tc>
      </w:tr>
      <w:tr>
        <w:tblPrEx>
          <w:tblCellMar>
            <w:top w:w="0" w:type="dxa"/>
            <w:left w:w="108" w:type="dxa"/>
            <w:bottom w:w="0" w:type="dxa"/>
            <w:right w:w="108" w:type="dxa"/>
          </w:tblCellMar>
        </w:tblPrEx>
        <w:trPr>
          <w:trHeight w:val="46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涉税服务相关法律</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能够理解税收相关法律法规内容，使学生知法守法。</w:t>
            </w:r>
          </w:p>
        </w:tc>
      </w:tr>
      <w:tr>
        <w:tblPrEx>
          <w:tblCellMar>
            <w:top w:w="0" w:type="dxa"/>
            <w:left w:w="108" w:type="dxa"/>
            <w:bottom w:w="0" w:type="dxa"/>
            <w:right w:w="108" w:type="dxa"/>
          </w:tblCellMar>
        </w:tblPrEx>
        <w:trPr>
          <w:trHeight w:val="71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w w:val="90"/>
                <w:sz w:val="24"/>
                <w:szCs w:val="24"/>
              </w:rPr>
            </w:pPr>
            <w:r>
              <w:rPr>
                <w:rFonts w:hint="eastAsia" w:ascii="仿宋" w:hAnsi="仿宋" w:eastAsia="仿宋" w:cs="仿宋"/>
                <w:color w:val="000000"/>
                <w:w w:val="90"/>
                <w:kern w:val="0"/>
                <w:sz w:val="24"/>
                <w:szCs w:val="24"/>
                <w:lang w:bidi="ar"/>
              </w:rPr>
              <w:t>财税票证使用与管理</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w w:val="90"/>
                <w:kern w:val="0"/>
                <w:sz w:val="24"/>
                <w:szCs w:val="24"/>
                <w:lang w:bidi="ar"/>
              </w:rPr>
            </w:pPr>
            <w:r>
              <w:rPr>
                <w:rFonts w:hint="eastAsia" w:ascii="仿宋" w:hAnsi="仿宋" w:eastAsia="仿宋" w:cs="仿宋"/>
                <w:color w:val="000000"/>
                <w:w w:val="90"/>
                <w:kern w:val="0"/>
                <w:sz w:val="24"/>
                <w:szCs w:val="24"/>
                <w:lang w:bidi="ar"/>
              </w:rPr>
              <w:t>了解相关人员的岗位职责，保证税收票证和国家税款的安全完整。</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2.专业实训课程</w:t>
      </w:r>
    </w:p>
    <w:tbl>
      <w:tblPr>
        <w:tblStyle w:val="7"/>
        <w:tblW w:w="8642" w:type="dxa"/>
        <w:tblInd w:w="103" w:type="dxa"/>
        <w:tblLayout w:type="fixed"/>
        <w:tblCellMar>
          <w:top w:w="0" w:type="dxa"/>
          <w:left w:w="108" w:type="dxa"/>
          <w:bottom w:w="0" w:type="dxa"/>
          <w:right w:w="108" w:type="dxa"/>
        </w:tblCellMar>
      </w:tblPr>
      <w:tblGrid>
        <w:gridCol w:w="739"/>
        <w:gridCol w:w="1548"/>
        <w:gridCol w:w="4978"/>
        <w:gridCol w:w="1377"/>
      </w:tblGrid>
      <w:tr>
        <w:tblPrEx>
          <w:tblCellMar>
            <w:top w:w="0" w:type="dxa"/>
            <w:left w:w="108" w:type="dxa"/>
            <w:bottom w:w="0" w:type="dxa"/>
            <w:right w:w="108" w:type="dxa"/>
          </w:tblCellMar>
        </w:tblPrEx>
        <w:trPr>
          <w:trHeight w:val="59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实训模式</w:t>
            </w:r>
          </w:p>
        </w:tc>
      </w:tr>
      <w:tr>
        <w:tblPrEx>
          <w:tblCellMar>
            <w:top w:w="0" w:type="dxa"/>
            <w:left w:w="108" w:type="dxa"/>
            <w:bottom w:w="0" w:type="dxa"/>
            <w:right w:w="108" w:type="dxa"/>
          </w:tblCellMar>
        </w:tblPrEx>
        <w:trPr>
          <w:trHeight w:val="68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财经技能</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掌握点钞、中英文录入、数字录入等的基本方法。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077"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出纳实训</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借助软件平台，办理库存现金、银行存款收付业务；填制常用的现金结算和银行结算单据；登记现金日记账和银行存款日记账。</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07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手工记账</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完成一家小型制造企业某一会计期间经济业务的模拟训练,初步接触企业经济业务会计核算全过程。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106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会计信息化</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借助软件平台，实施会计账套管理初始工作；能熟练运用总账、报表、工资、固定资产等基本功能模块核算企业日常经济业务。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1087"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税务技能实训</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借助软件平台，办理增值税、个人所得税、企业所得税、城市维护建设税等税种的计算、申报和缴纳。</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竞赛（单人多岗）</w:t>
            </w:r>
          </w:p>
        </w:tc>
      </w:tr>
      <w:tr>
        <w:tblPrEx>
          <w:tblCellMar>
            <w:top w:w="0" w:type="dxa"/>
            <w:left w:w="108" w:type="dxa"/>
            <w:bottom w:w="0" w:type="dxa"/>
            <w:right w:w="108" w:type="dxa"/>
          </w:tblCellMar>
        </w:tblPrEx>
        <w:trPr>
          <w:trHeight w:val="127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会计综合实训</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平台将业务、账务、税务融合成一个整体,以经济业务发生为主线，将财务各项工作结合起来，实现流程串联、数据共联、逻辑通联、操作互联,多元化培养学生财税相关技能。</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112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智能财税共享服务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106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培养学生财务数字化平台协同应用能力、对外协调沟通能力、内部风险应变能力和经济业务数字化处理能力。</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3.专业拓展课程</w:t>
      </w:r>
    </w:p>
    <w:tbl>
      <w:tblPr>
        <w:tblStyle w:val="7"/>
        <w:tblW w:w="8779" w:type="dxa"/>
        <w:jc w:val="center"/>
        <w:tblLayout w:type="autofit"/>
        <w:tblCellMar>
          <w:top w:w="0" w:type="dxa"/>
          <w:left w:w="108" w:type="dxa"/>
          <w:bottom w:w="0" w:type="dxa"/>
          <w:right w:w="108" w:type="dxa"/>
        </w:tblCellMar>
      </w:tblPr>
      <w:tblGrid>
        <w:gridCol w:w="901"/>
        <w:gridCol w:w="2187"/>
        <w:gridCol w:w="5691"/>
      </w:tblGrid>
      <w:tr>
        <w:tblPrEx>
          <w:tblCellMar>
            <w:top w:w="0" w:type="dxa"/>
            <w:left w:w="108" w:type="dxa"/>
            <w:bottom w:w="0" w:type="dxa"/>
            <w:right w:w="108" w:type="dxa"/>
          </w:tblCellMar>
        </w:tblPrEx>
        <w:trPr>
          <w:trHeight w:val="609"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96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tblPrEx>
          <w:tblCellMar>
            <w:top w:w="0" w:type="dxa"/>
            <w:left w:w="108" w:type="dxa"/>
            <w:bottom w:w="0" w:type="dxa"/>
            <w:right w:w="108" w:type="dxa"/>
          </w:tblCellMar>
        </w:tblPrEx>
        <w:trPr>
          <w:trHeight w:val="147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通过完成典型的岗位工作任务,认知企业主要经管理活动过程和主要业务流程；体验企业内部门间的协作关系及其与企业外围相关经济组织与管理部门之间的业务关联。</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（三）综合素养课程</w:t>
      </w:r>
    </w:p>
    <w:tbl>
      <w:tblPr>
        <w:tblStyle w:val="7"/>
        <w:tblW w:w="8779" w:type="dxa"/>
        <w:tblInd w:w="96" w:type="dxa"/>
        <w:tblLayout w:type="autofit"/>
        <w:tblCellMar>
          <w:top w:w="0" w:type="dxa"/>
          <w:left w:w="108" w:type="dxa"/>
          <w:bottom w:w="0" w:type="dxa"/>
          <w:right w:w="108" w:type="dxa"/>
        </w:tblCellMar>
      </w:tblPr>
      <w:tblGrid>
        <w:gridCol w:w="859"/>
        <w:gridCol w:w="1879"/>
        <w:gridCol w:w="6041"/>
      </w:tblGrid>
      <w:tr>
        <w:tblPrEx>
          <w:tblCellMar>
            <w:top w:w="0" w:type="dxa"/>
            <w:left w:w="108" w:type="dxa"/>
            <w:bottom w:w="0" w:type="dxa"/>
            <w:right w:w="108" w:type="dxa"/>
          </w:tblCellMar>
        </w:tblPrEx>
        <w:trPr>
          <w:trHeight w:val="54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319"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军事训练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871"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创新创业教育</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对学生进行创新思维培养和创业能力锻炼，引导学生认知当今企业环境，寻找创业机会，把握创业风险，掌握商业模式开发的过程、设计策略及技巧</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103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财经素养</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设置不同的任务模块，学习有关诚信文化、进行家庭理财调查、研学与涉税业务相关的法律法规等。引导学生树立正确的消费观、财富观。</w:t>
            </w:r>
          </w:p>
        </w:tc>
      </w:tr>
      <w:tr>
        <w:tblPrEx>
          <w:tblCellMar>
            <w:top w:w="0" w:type="dxa"/>
            <w:left w:w="108" w:type="dxa"/>
            <w:bottom w:w="0" w:type="dxa"/>
            <w:right w:w="108" w:type="dxa"/>
          </w:tblCellMar>
        </w:tblPrEx>
        <w:trPr>
          <w:trHeight w:val="103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了解目标职业的需求情况,掌握目标岗位要求,熟悉职业规范,形成正确的就业观,寻找自身的差距,激发全面提高自身素质的积极性和自觉性,养成良好的职业道德。</w:t>
            </w:r>
          </w:p>
        </w:tc>
      </w:tr>
      <w:tr>
        <w:tblPrEx>
          <w:tblCellMar>
            <w:top w:w="0" w:type="dxa"/>
            <w:left w:w="108" w:type="dxa"/>
            <w:bottom w:w="0" w:type="dxa"/>
            <w:right w:w="108" w:type="dxa"/>
          </w:tblCellMar>
        </w:tblPrEx>
        <w:trPr>
          <w:trHeight w:val="1561"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r>
        <w:tblPrEx>
          <w:tblCellMar>
            <w:top w:w="0" w:type="dxa"/>
            <w:left w:w="108" w:type="dxa"/>
            <w:bottom w:w="0" w:type="dxa"/>
            <w:right w:w="108" w:type="dxa"/>
          </w:tblCellMar>
        </w:tblPrEx>
        <w:trPr>
          <w:trHeight w:val="638"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w w:val="90"/>
                <w:kern w:val="0"/>
                <w:sz w:val="24"/>
                <w:szCs w:val="24"/>
                <w:lang w:bidi="ar"/>
              </w:rPr>
            </w:pPr>
            <w:r>
              <w:rPr>
                <w:rFonts w:hint="eastAsia" w:ascii="仿宋" w:hAnsi="仿宋" w:eastAsia="仿宋" w:cs="仿宋"/>
                <w:color w:val="000000"/>
                <w:w w:val="90"/>
                <w:kern w:val="0"/>
                <w:sz w:val="24"/>
                <w:szCs w:val="24"/>
                <w:lang w:bidi="ar"/>
              </w:rPr>
              <w:t>人际关系与沟通技巧</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了解人际关系，掌握沟通技巧，实现有效沟通。</w:t>
            </w:r>
          </w:p>
        </w:tc>
      </w:tr>
    </w:tbl>
    <w:p>
      <w:pPr>
        <w:spacing w:line="560" w:lineRule="exact"/>
        <w:ind w:firstLine="643" w:firstLineChars="20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（四）资格认证课程</w:t>
      </w:r>
    </w:p>
    <w:tbl>
      <w:tblPr>
        <w:tblStyle w:val="7"/>
        <w:tblW w:w="9071" w:type="dxa"/>
        <w:jc w:val="center"/>
        <w:tblLayout w:type="autofit"/>
        <w:tblCellMar>
          <w:top w:w="0" w:type="dxa"/>
          <w:left w:w="108" w:type="dxa"/>
          <w:bottom w:w="0" w:type="dxa"/>
          <w:right w:w="108" w:type="dxa"/>
        </w:tblCellMar>
      </w:tblPr>
      <w:tblGrid>
        <w:gridCol w:w="3391"/>
        <w:gridCol w:w="3396"/>
        <w:gridCol w:w="2284"/>
      </w:tblGrid>
      <w:tr>
        <w:tblPrEx>
          <w:tblCellMar>
            <w:top w:w="0" w:type="dxa"/>
            <w:left w:w="108" w:type="dxa"/>
            <w:bottom w:w="0" w:type="dxa"/>
            <w:right w:w="108" w:type="dxa"/>
          </w:tblCellMar>
        </w:tblPrEx>
        <w:trPr>
          <w:trHeight w:val="420" w:hRule="atLeast"/>
          <w:jc w:val="center"/>
        </w:trPr>
        <w:tc>
          <w:tcPr>
            <w:tcW w:w="35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58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40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0" w:hRule="atLeast"/>
          <w:jc w:val="center"/>
        </w:trPr>
        <w:tc>
          <w:tcPr>
            <w:tcW w:w="35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58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40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4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20" w:hRule="atLeast"/>
          <w:jc w:val="center"/>
        </w:trPr>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35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北京东大正保科技有限公司</w:t>
            </w:r>
          </w:p>
        </w:tc>
        <w:tc>
          <w:tcPr>
            <w:tcW w:w="24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20" w:hRule="atLeast"/>
          <w:jc w:val="center"/>
        </w:trPr>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财务数字化应用（初级）</w:t>
            </w:r>
          </w:p>
        </w:tc>
        <w:tc>
          <w:tcPr>
            <w:tcW w:w="35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新道科技股份有限公司</w:t>
            </w:r>
          </w:p>
        </w:tc>
        <w:tc>
          <w:tcPr>
            <w:tcW w:w="24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）岗位实习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1.实习目标</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使学生接触</w:t>
      </w:r>
      <w:r>
        <w:rPr>
          <w:rFonts w:hint="eastAsia" w:ascii="仿宋" w:hAnsi="仿宋" w:eastAsia="仿宋" w:cs="仿宋"/>
          <w:bCs/>
          <w:color w:val="000000" w:themeColor="text1"/>
          <w:sz w:val="32"/>
          <w:szCs w:val="32"/>
          <w:lang w:val="en-US" w:eastAsia="zh-CN"/>
          <w14:textFill>
            <w14:solidFill>
              <w14:schemeClr w14:val="tx1"/>
            </w14:solidFill>
          </w14:textFill>
        </w:rPr>
        <w:t>会计</w:t>
      </w:r>
      <w:r>
        <w:rPr>
          <w:rFonts w:hint="eastAsia" w:ascii="仿宋" w:hAnsi="仿宋" w:eastAsia="仿宋" w:cs="仿宋"/>
          <w:bCs/>
          <w:color w:val="000000" w:themeColor="text1"/>
          <w:sz w:val="32"/>
          <w:szCs w:val="32"/>
          <w14:textFill>
            <w14:solidFill>
              <w14:schemeClr w14:val="tx1"/>
            </w14:solidFill>
          </w14:textFill>
        </w:rPr>
        <w:t>专业工作岗位,掌握岗位的典型工作流程、工作内容及核心技能；培养学生爱岗敬业、精益求精、诚实守信的职业精神</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帮助</w:t>
      </w:r>
      <w:r>
        <w:rPr>
          <w:rFonts w:hint="eastAsia" w:ascii="仿宋" w:hAnsi="仿宋" w:eastAsia="仿宋" w:cs="仿宋"/>
          <w:bCs/>
          <w:color w:val="000000" w:themeColor="text1"/>
          <w:sz w:val="32"/>
          <w:szCs w:val="32"/>
          <w14:textFill>
            <w14:solidFill>
              <w14:schemeClr w14:val="tx1"/>
            </w14:solidFill>
          </w14:textFill>
        </w:rPr>
        <w:t>学生认识社会，切实提高人际沟通能力、组织管理能力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使学生的职业能力在实践运用中进一步深化。</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2.实习岗位</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实习</w:t>
      </w:r>
      <w:r>
        <w:rPr>
          <w:rFonts w:hint="eastAsia" w:ascii="仿宋" w:hAnsi="仿宋" w:eastAsia="仿宋" w:cs="仿宋"/>
          <w:bCs/>
          <w:color w:val="000000" w:themeColor="text1"/>
          <w:sz w:val="32"/>
          <w:szCs w:val="32"/>
          <w14:textFill>
            <w14:solidFill>
              <w14:schemeClr w14:val="tx1"/>
            </w14:solidFill>
          </w14:textFill>
        </w:rPr>
        <w:t>岗位主要包括：收银员、库管员、出纳员、会计员</w:t>
      </w:r>
      <w:r>
        <w:rPr>
          <w:rFonts w:hint="eastAsia" w:ascii="仿宋" w:hAnsi="仿宋" w:eastAsia="仿宋" w:cs="仿宋"/>
          <w:bCs/>
          <w:color w:val="000000" w:themeColor="text1"/>
          <w:sz w:val="32"/>
          <w:szCs w:val="32"/>
          <w:lang w:val="en-US" w:eastAsia="zh-CN"/>
          <w14:textFill>
            <w14:solidFill>
              <w14:schemeClr w14:val="tx1"/>
            </w14:solidFill>
          </w14:textFill>
        </w:rPr>
        <w:t>等</w:t>
      </w:r>
      <w:r>
        <w:rPr>
          <w:rFonts w:hint="eastAsia" w:ascii="仿宋" w:hAnsi="仿宋" w:eastAsia="仿宋" w:cs="仿宋"/>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3.实习内容</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4.实习时间</w:t>
      </w:r>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教学进程总体安排</w:t>
      </w:r>
    </w:p>
    <w:tbl>
      <w:tblPr>
        <w:tblStyle w:val="7"/>
        <w:tblW w:w="8347" w:type="dxa"/>
        <w:jc w:val="center"/>
        <w:tblLayout w:type="autofit"/>
        <w:tblCellMar>
          <w:top w:w="0" w:type="dxa"/>
          <w:left w:w="108" w:type="dxa"/>
          <w:bottom w:w="0" w:type="dxa"/>
          <w:right w:w="108" w:type="dxa"/>
        </w:tblCellMar>
      </w:tblPr>
      <w:tblGrid>
        <w:gridCol w:w="652"/>
        <w:gridCol w:w="496"/>
        <w:gridCol w:w="437"/>
        <w:gridCol w:w="533"/>
        <w:gridCol w:w="2771"/>
        <w:gridCol w:w="656"/>
        <w:gridCol w:w="437"/>
        <w:gridCol w:w="437"/>
        <w:gridCol w:w="437"/>
        <w:gridCol w:w="437"/>
        <w:gridCol w:w="437"/>
        <w:gridCol w:w="617"/>
      </w:tblGrid>
      <w:tr>
        <w:tblPrEx>
          <w:tblCellMar>
            <w:top w:w="0" w:type="dxa"/>
            <w:left w:w="108" w:type="dxa"/>
            <w:bottom w:w="0" w:type="dxa"/>
            <w:right w:w="108" w:type="dxa"/>
          </w:tblCellMar>
        </w:tblPrEx>
        <w:trPr>
          <w:trHeight w:val="399"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课程类别</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性质</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2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课程名称</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总学时</w:t>
            </w:r>
          </w:p>
        </w:tc>
        <w:tc>
          <w:tcPr>
            <w:tcW w:w="280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各学期周学时安排</w:t>
            </w:r>
          </w:p>
        </w:tc>
      </w:tr>
      <w:tr>
        <w:tblPrEx>
          <w:tblCellMar>
            <w:top w:w="0" w:type="dxa"/>
            <w:left w:w="108" w:type="dxa"/>
            <w:bottom w:w="0" w:type="dxa"/>
            <w:right w:w="108" w:type="dxa"/>
          </w:tblCellMar>
        </w:tblPrEx>
        <w:trPr>
          <w:trHeight w:val="114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第一学期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第二学期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第三学期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第四学期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第五学期</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第六学期</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语文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英语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信息技术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中国特色社会主义</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心理健康与职业生涯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哲学与人生</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职业道德与法治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体育与健康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96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音乐欣赏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美术欣赏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书法</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礼乐修身</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历史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3741" w:type="dxa"/>
            <w:gridSpan w:val="3"/>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336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61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技能)</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课程</w:t>
            </w:r>
          </w:p>
        </w:tc>
        <w:tc>
          <w:tcPr>
            <w:tcW w:w="4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专业理论课程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财经法规与会计职业道德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92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企业财务会计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税费计算与申报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统计基础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小企业纳税管理</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涉税服务相关法律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财税票证使用与管理</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专业实训课程</w:t>
            </w:r>
          </w:p>
        </w:tc>
        <w:tc>
          <w:tcPr>
            <w:tcW w:w="437" w:type="dxa"/>
            <w:vMerge w:val="restart"/>
            <w:tcBorders>
              <w:top w:val="nil"/>
              <w:left w:val="single" w:color="auto" w:sz="4" w:space="0"/>
              <w:bottom w:val="nil"/>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财经技能</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手工记账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税务技能实训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会计信息化</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出纳实训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99"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会计综合实训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智能财税共享服务</w:t>
            </w:r>
          </w:p>
        </w:tc>
        <w:tc>
          <w:tcPr>
            <w:tcW w:w="6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6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1"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w:t>
            </w:r>
          </w:p>
        </w:tc>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6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237" w:type="dxa"/>
            <w:gridSpan w:val="4"/>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专业(技能)课程小计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15</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61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专业拓展课程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选修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ERP沙盘认知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VBSE模拟商业社会安训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军事训练</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创新创业教育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财经素养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特色德育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就业指导</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职业能力</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人际关系与沟通技巧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资格认证</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全国计算机等级考试（一级）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普通话</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bookmarkStart w:id="0" w:name="_GoBack" w:colFirst="9" w:colLast="9"/>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bookmarkEnd w:id="0"/>
      <w:tr>
        <w:tblPrEx>
          <w:tblCellMar>
            <w:top w:w="0" w:type="dxa"/>
            <w:left w:w="108" w:type="dxa"/>
            <w:bottom w:w="0" w:type="dxa"/>
            <w:right w:w="108" w:type="dxa"/>
          </w:tblCellMar>
        </w:tblPrEx>
        <w:trPr>
          <w:trHeight w:val="300" w:hRule="atLeast"/>
          <w:jc w:val="center"/>
        </w:trPr>
        <w:tc>
          <w:tcPr>
            <w:tcW w:w="1148"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实践教学</w:t>
            </w:r>
          </w:p>
        </w:tc>
        <w:tc>
          <w:tcPr>
            <w:tcW w:w="43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岗位实习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540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889" w:type="dxa"/>
            <w:gridSpan w:val="5"/>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合计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334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61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26</w:t>
            </w:r>
            <w:r>
              <w:rPr>
                <w:rFonts w:hint="eastAsia" w:ascii="仿宋" w:hAnsi="仿宋" w:eastAsia="仿宋" w:cs="宋体"/>
                <w:color w:val="000000"/>
                <w:kern w:val="0"/>
                <w:sz w:val="22"/>
              </w:rPr>
              <w:t>　</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八、实施保障</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本专业专任教师应具有会计事务或会计事务相关专业本科及以上学历、中等职业学校教师资格证书。专业带头人应有较高的业务能力，具有中级以上专业技术职务和相关职业资格。</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团队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教室应配备先进的多媒体教学设备。</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2.校内实训室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7"/>
        <w:tblW w:w="8619" w:type="dxa"/>
        <w:tblInd w:w="96" w:type="dxa"/>
        <w:tblLayout w:type="fixed"/>
        <w:tblCellMar>
          <w:top w:w="0" w:type="dxa"/>
          <w:left w:w="108" w:type="dxa"/>
          <w:bottom w:w="0" w:type="dxa"/>
          <w:right w:w="108" w:type="dxa"/>
        </w:tblCellMar>
      </w:tblPr>
      <w:tblGrid>
        <w:gridCol w:w="2157"/>
        <w:gridCol w:w="2201"/>
        <w:gridCol w:w="4261"/>
      </w:tblGrid>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实训室名称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功能</w:t>
            </w:r>
          </w:p>
        </w:tc>
        <w:tc>
          <w:tcPr>
            <w:tcW w:w="4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配置</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Style w:val="19"/>
                <w:rFonts w:hint="default" w:ascii="仿宋" w:hAnsi="仿宋" w:eastAsia="仿宋" w:cs="仿宋"/>
                <w:sz w:val="24"/>
                <w:szCs w:val="24"/>
                <w:lang w:bidi="ar"/>
              </w:rPr>
              <w:t>智能财税实训基地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学生用电脑85台；教师示范用电脑4台；多媒体设备1套。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Style w:val="19"/>
                <w:rFonts w:hint="default" w:ascii="仿宋" w:hAnsi="仿宋" w:eastAsia="仿宋" w:cs="仿宋"/>
                <w:sz w:val="24"/>
                <w:szCs w:val="24"/>
                <w:lang w:bidi="ar"/>
              </w:rPr>
              <w:t>智慧财务创新中心</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学生用电脑80台；教师示范用电脑4台；多媒体设备1套。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Fonts w:hint="eastAsia" w:ascii="仿宋" w:hAnsi="仿宋" w:eastAsia="仿宋" w:cs="仿宋"/>
                <w:kern w:val="0"/>
                <w:sz w:val="24"/>
                <w:lang w:bidi="ar"/>
              </w:rPr>
              <w:t>会计信息化实训室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学生用电脑200台；教师示范用电脑10台；多媒体设备4套。</w:t>
            </w:r>
          </w:p>
        </w:tc>
      </w:tr>
      <w:tr>
        <w:tblPrEx>
          <w:tblCellMar>
            <w:top w:w="0" w:type="dxa"/>
            <w:left w:w="108" w:type="dxa"/>
            <w:bottom w:w="0" w:type="dxa"/>
            <w:right w:w="108" w:type="dxa"/>
          </w:tblCellMar>
        </w:tblPrEx>
        <w:trPr>
          <w:trHeight w:val="1610"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VBSE实训室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满足会计综合实训专业课程需要</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台式电脑</w:t>
            </w:r>
            <w:r>
              <w:rPr>
                <w:rStyle w:val="18"/>
                <w:rFonts w:hint="eastAsia" w:ascii="仿宋" w:hAnsi="仿宋" w:eastAsia="仿宋" w:cs="仿宋"/>
                <w:sz w:val="24"/>
                <w:szCs w:val="24"/>
                <w:lang w:bidi="ar"/>
              </w:rPr>
              <w:t>78</w:t>
            </w:r>
            <w:r>
              <w:rPr>
                <w:rStyle w:val="19"/>
                <w:rFonts w:hint="default" w:ascii="仿宋" w:hAnsi="仿宋" w:eastAsia="仿宋" w:cs="仿宋"/>
                <w:sz w:val="24"/>
                <w:szCs w:val="24"/>
                <w:lang w:bidi="ar"/>
              </w:rPr>
              <w:t>台；</w:t>
            </w:r>
            <w:r>
              <w:rPr>
                <w:rStyle w:val="18"/>
                <w:rFonts w:hint="eastAsia" w:ascii="仿宋" w:hAnsi="仿宋" w:eastAsia="仿宋" w:cs="仿宋"/>
                <w:sz w:val="24"/>
                <w:szCs w:val="24"/>
                <w:lang w:bidi="ar"/>
              </w:rPr>
              <w:t>VBSE</w:t>
            </w:r>
            <w:r>
              <w:rPr>
                <w:rStyle w:val="19"/>
                <w:rFonts w:hint="default" w:ascii="仿宋" w:hAnsi="仿宋" w:eastAsia="仿宋" w:cs="仿宋"/>
                <w:sz w:val="24"/>
                <w:szCs w:val="24"/>
                <w:lang w:bidi="ar"/>
              </w:rPr>
              <w:t>综合实践教学平台软件</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套；多媒体触摸一体机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台；叫号机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台；满意度评价器</w:t>
            </w:r>
            <w:r>
              <w:rPr>
                <w:rStyle w:val="18"/>
                <w:rFonts w:hint="eastAsia" w:ascii="仿宋" w:hAnsi="仿宋" w:eastAsia="仿宋" w:cs="仿宋"/>
                <w:sz w:val="24"/>
                <w:szCs w:val="24"/>
                <w:lang w:bidi="ar"/>
              </w:rPr>
              <w:t>4</w:t>
            </w:r>
            <w:r>
              <w:rPr>
                <w:rStyle w:val="19"/>
                <w:rFonts w:hint="default" w:ascii="仿宋" w:hAnsi="仿宋" w:eastAsia="仿宋" w:cs="仿宋"/>
                <w:sz w:val="24"/>
                <w:szCs w:val="24"/>
                <w:lang w:bidi="ar"/>
              </w:rPr>
              <w:t>台；激光打印机</w:t>
            </w:r>
            <w:r>
              <w:rPr>
                <w:rStyle w:val="18"/>
                <w:rFonts w:hint="eastAsia" w:ascii="仿宋" w:hAnsi="仿宋" w:eastAsia="仿宋" w:cs="仿宋"/>
                <w:sz w:val="24"/>
                <w:szCs w:val="24"/>
                <w:lang w:bidi="ar"/>
              </w:rPr>
              <w:t>2</w:t>
            </w:r>
            <w:r>
              <w:rPr>
                <w:rStyle w:val="19"/>
                <w:rFonts w:hint="default" w:ascii="仿宋" w:hAnsi="仿宋" w:eastAsia="仿宋" w:cs="仿宋"/>
                <w:sz w:val="24"/>
                <w:szCs w:val="24"/>
                <w:lang w:bidi="ar"/>
              </w:rPr>
              <w:t>台，指纹考勤机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台；交换机</w:t>
            </w:r>
            <w:r>
              <w:rPr>
                <w:rStyle w:val="18"/>
                <w:rFonts w:hint="eastAsia" w:ascii="仿宋" w:hAnsi="仿宋" w:eastAsia="仿宋" w:cs="仿宋"/>
                <w:sz w:val="24"/>
                <w:szCs w:val="24"/>
                <w:lang w:bidi="ar"/>
              </w:rPr>
              <w:t>3</w:t>
            </w:r>
            <w:r>
              <w:rPr>
                <w:rStyle w:val="19"/>
                <w:rFonts w:hint="default" w:ascii="仿宋" w:hAnsi="仿宋" w:eastAsia="仿宋" w:cs="仿宋"/>
                <w:sz w:val="24"/>
                <w:szCs w:val="24"/>
                <w:lang w:bidi="ar"/>
              </w:rPr>
              <w:t>台</w:t>
            </w:r>
            <w:r>
              <w:rPr>
                <w:rStyle w:val="20"/>
                <w:rFonts w:hint="default" w:ascii="仿宋" w:hAnsi="仿宋" w:eastAsia="仿宋" w:cs="仿宋"/>
                <w:sz w:val="24"/>
                <w:szCs w:val="24"/>
                <w:lang w:bidi="ar"/>
              </w:rPr>
              <w:t>。</w:t>
            </w:r>
          </w:p>
        </w:tc>
      </w:tr>
      <w:tr>
        <w:tblPrEx>
          <w:tblCellMar>
            <w:top w:w="0" w:type="dxa"/>
            <w:left w:w="108" w:type="dxa"/>
            <w:bottom w:w="0" w:type="dxa"/>
            <w:right w:w="108" w:type="dxa"/>
          </w:tblCellMar>
        </w:tblPrEx>
        <w:trPr>
          <w:trHeight w:val="952"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财经技能实训室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满足点钞、传票翻打、珠算、计算器等财经技能学习需要</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点钞纸若干；爱丁派50台；传票若干本；验钞机1台；计算器40个；算盘40个；多媒体设备1套。</w:t>
            </w:r>
          </w:p>
        </w:tc>
      </w:tr>
      <w:tr>
        <w:tblPrEx>
          <w:tblCellMar>
            <w:top w:w="0" w:type="dxa"/>
            <w:left w:w="108" w:type="dxa"/>
            <w:bottom w:w="0" w:type="dxa"/>
            <w:right w:w="108" w:type="dxa"/>
          </w:tblCellMar>
        </w:tblPrEx>
        <w:trPr>
          <w:trHeight w:val="1004"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ERP沙盘实训室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满足学生模拟企业经营实训需要</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学生用电脑50台；教师示范用电脑1台；多媒体设备1套。</w:t>
            </w:r>
          </w:p>
        </w:tc>
      </w:tr>
      <w:tr>
        <w:tblPrEx>
          <w:tblCellMar>
            <w:top w:w="0" w:type="dxa"/>
            <w:left w:w="108" w:type="dxa"/>
            <w:bottom w:w="0" w:type="dxa"/>
            <w:right w:w="108" w:type="dxa"/>
          </w:tblCellMar>
        </w:tblPrEx>
        <w:trPr>
          <w:trHeight w:val="1004"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会计手工实训室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满足会计手工课程需要</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多媒体教师桌；物品柜1台；桌椅40套；装订机2台；手写投影仪1台；印章套装1套；手工会计实训挂图；手工记账各类教具及学生用具。</w:t>
            </w:r>
          </w:p>
        </w:tc>
      </w:tr>
      <w:tr>
        <w:tblPrEx>
          <w:tblCellMar>
            <w:top w:w="0" w:type="dxa"/>
            <w:left w:w="108" w:type="dxa"/>
            <w:bottom w:w="0" w:type="dxa"/>
            <w:right w:w="108" w:type="dxa"/>
          </w:tblCellMar>
        </w:tblPrEx>
        <w:trPr>
          <w:trHeight w:val="1004"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满足收银实训练习需要</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收银机40台；收银台40台；条码打印机1台；货架6支；条码计价电子秤1台；称重台2张；商超系统实训管理软件。</w:t>
            </w:r>
          </w:p>
        </w:tc>
      </w:tr>
    </w:tbl>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会计岗位实习要求，依托企业财务部门、会计师事务所等机构建立会计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健全教材选用制度，选用体现新技术、新工艺、新规范等的高质量教材，引入典型生产案例。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以会计事务专业学生和教师需求为主，应当包括适合会计事务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pStyle w:val="2"/>
        <w:rPr>
          <w:rFonts w:ascii="黑体" w:hAnsi="黑体" w:eastAsia="黑体" w:cs="黑体"/>
          <w:color w:val="000000" w:themeColor="text1"/>
          <w:sz w:val="32"/>
          <w:szCs w:val="32"/>
          <w:lang w:val="en-US" w:bidi="ar-SA"/>
          <w14:textFill>
            <w14:solidFill>
              <w14:schemeClr w14:val="tx1"/>
            </w14:solidFill>
          </w14:textFill>
        </w:rPr>
      </w:pPr>
      <w:r>
        <w:rPr>
          <w:rFonts w:hint="eastAsia" w:ascii="黑体" w:hAnsi="黑体" w:eastAsia="黑体" w:cs="黑体"/>
          <w:color w:val="000000" w:themeColor="text1"/>
          <w:sz w:val="32"/>
          <w:szCs w:val="32"/>
          <w:lang w:val="en-US" w:bidi="ar-SA"/>
          <w14:textFill>
            <w14:solidFill>
              <w14:schemeClr w14:val="tx1"/>
            </w14:solidFill>
          </w14:textFill>
        </w:rPr>
        <w:t>十、接续专业举例</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Cs/>
          <w:color w:val="000000" w:themeColor="text1"/>
          <w:sz w:val="32"/>
          <w:szCs w:val="32"/>
          <w:highlight w:val="none"/>
          <w14:textFill>
            <w14:solidFill>
              <w14:schemeClr w14:val="tx1"/>
            </w14:solidFill>
          </w14:textFill>
        </w:rPr>
        <w:t>财税大数据应用、大数据与财务管理、大数据与会计、大数据与审计、会计信息管理等</w:t>
      </w:r>
      <w:r>
        <w:rPr>
          <w:rFonts w:hint="eastAsia" w:ascii="仿宋" w:hAnsi="仿宋" w:eastAsia="仿宋" w:cs="仿宋"/>
          <w:bCs/>
          <w:color w:val="000000" w:themeColor="text1"/>
          <w:sz w:val="32"/>
          <w:szCs w:val="32"/>
          <w14:textFill>
            <w14:solidFill>
              <w14:schemeClr w14:val="tx1"/>
            </w14:solidFill>
          </w14:textFill>
        </w:rPr>
        <w:t>。</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接续普通本科专业举例：财务管理、会计学、审计学、财务会计教育等。</w:t>
      </w:r>
    </w:p>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C4D76-6CAC-4E3D-983E-020C280BDB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A48BA8C-DBBE-4FC5-930A-7DD76BFFE1AF}"/>
  </w:font>
  <w:font w:name="仿宋">
    <w:panose1 w:val="02010609060101010101"/>
    <w:charset w:val="86"/>
    <w:family w:val="modern"/>
    <w:pitch w:val="default"/>
    <w:sig w:usb0="800002BF" w:usb1="38CF7CFA" w:usb2="00000016" w:usb3="00000000" w:csb0="00040001" w:csb1="00000000"/>
    <w:embedRegular r:id="rId3" w:fontKey="{726BACFE-DAAF-41FB-B9C2-6C0395D57232}"/>
  </w:font>
  <w:font w:name="楷体">
    <w:panose1 w:val="02010609060101010101"/>
    <w:charset w:val="86"/>
    <w:family w:val="modern"/>
    <w:pitch w:val="default"/>
    <w:sig w:usb0="800002BF" w:usb1="38CF7CFA" w:usb2="00000016" w:usb3="00000000" w:csb0="00040001" w:csb1="00000000"/>
    <w:embedRegular r:id="rId4" w:fontKey="{9DA8B04F-7F49-4418-9A90-017F4560F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C2950"/>
    <w:rsid w:val="002C70FB"/>
    <w:rsid w:val="002D3BD5"/>
    <w:rsid w:val="00303F21"/>
    <w:rsid w:val="00310D19"/>
    <w:rsid w:val="0034209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7F00"/>
    <w:rsid w:val="004C454F"/>
    <w:rsid w:val="004D55CA"/>
    <w:rsid w:val="004E015D"/>
    <w:rsid w:val="00503079"/>
    <w:rsid w:val="00514ED8"/>
    <w:rsid w:val="00571BAF"/>
    <w:rsid w:val="00581B78"/>
    <w:rsid w:val="005C1BFE"/>
    <w:rsid w:val="005E126F"/>
    <w:rsid w:val="005F298D"/>
    <w:rsid w:val="006408F8"/>
    <w:rsid w:val="00656CD9"/>
    <w:rsid w:val="00691C72"/>
    <w:rsid w:val="006C416F"/>
    <w:rsid w:val="006D122A"/>
    <w:rsid w:val="00713B81"/>
    <w:rsid w:val="00732C4A"/>
    <w:rsid w:val="00747A59"/>
    <w:rsid w:val="0075429C"/>
    <w:rsid w:val="007D7997"/>
    <w:rsid w:val="008415F4"/>
    <w:rsid w:val="00844648"/>
    <w:rsid w:val="008533CE"/>
    <w:rsid w:val="008614D6"/>
    <w:rsid w:val="00861DAE"/>
    <w:rsid w:val="008A7114"/>
    <w:rsid w:val="008B6DA4"/>
    <w:rsid w:val="00902908"/>
    <w:rsid w:val="00923E5A"/>
    <w:rsid w:val="009263BB"/>
    <w:rsid w:val="009542C2"/>
    <w:rsid w:val="009576D7"/>
    <w:rsid w:val="009960D3"/>
    <w:rsid w:val="009C1ADD"/>
    <w:rsid w:val="009C70B9"/>
    <w:rsid w:val="009D52C9"/>
    <w:rsid w:val="00A3043A"/>
    <w:rsid w:val="00A445C7"/>
    <w:rsid w:val="00A822D0"/>
    <w:rsid w:val="00AF42AE"/>
    <w:rsid w:val="00B06BF2"/>
    <w:rsid w:val="00B42E5E"/>
    <w:rsid w:val="00B5098A"/>
    <w:rsid w:val="00B52B47"/>
    <w:rsid w:val="00B9046B"/>
    <w:rsid w:val="00B93092"/>
    <w:rsid w:val="00BD39B1"/>
    <w:rsid w:val="00C46046"/>
    <w:rsid w:val="00CB280F"/>
    <w:rsid w:val="00CC065A"/>
    <w:rsid w:val="00D014E2"/>
    <w:rsid w:val="00D22EBC"/>
    <w:rsid w:val="00D32F62"/>
    <w:rsid w:val="00D37ABB"/>
    <w:rsid w:val="00D93BBC"/>
    <w:rsid w:val="00DC496D"/>
    <w:rsid w:val="00DE36EA"/>
    <w:rsid w:val="00DE677C"/>
    <w:rsid w:val="00DF6AB5"/>
    <w:rsid w:val="00DF6C02"/>
    <w:rsid w:val="00E02047"/>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3381800"/>
    <w:rsid w:val="05373B10"/>
    <w:rsid w:val="088C4D6A"/>
    <w:rsid w:val="0A9F0B6A"/>
    <w:rsid w:val="0B430809"/>
    <w:rsid w:val="0E160667"/>
    <w:rsid w:val="102313C5"/>
    <w:rsid w:val="102B5D95"/>
    <w:rsid w:val="12FE508A"/>
    <w:rsid w:val="138D6DEC"/>
    <w:rsid w:val="149D23A8"/>
    <w:rsid w:val="14D06118"/>
    <w:rsid w:val="182F1870"/>
    <w:rsid w:val="198151FF"/>
    <w:rsid w:val="19E45D51"/>
    <w:rsid w:val="1B0B196C"/>
    <w:rsid w:val="1C93342E"/>
    <w:rsid w:val="1D2D5EFB"/>
    <w:rsid w:val="1DDF63ED"/>
    <w:rsid w:val="220D77DF"/>
    <w:rsid w:val="226D2BD2"/>
    <w:rsid w:val="22DB371C"/>
    <w:rsid w:val="230706D2"/>
    <w:rsid w:val="23B71BC2"/>
    <w:rsid w:val="24092228"/>
    <w:rsid w:val="256E6505"/>
    <w:rsid w:val="26B81385"/>
    <w:rsid w:val="276D3C0B"/>
    <w:rsid w:val="295E48AC"/>
    <w:rsid w:val="2B4071BA"/>
    <w:rsid w:val="2D0A5F7B"/>
    <w:rsid w:val="2E1D31F2"/>
    <w:rsid w:val="2E9D638E"/>
    <w:rsid w:val="2F997C91"/>
    <w:rsid w:val="30516BD9"/>
    <w:rsid w:val="3130246D"/>
    <w:rsid w:val="32B141B6"/>
    <w:rsid w:val="332847BE"/>
    <w:rsid w:val="33BE724F"/>
    <w:rsid w:val="34B34216"/>
    <w:rsid w:val="355F7A83"/>
    <w:rsid w:val="377A101B"/>
    <w:rsid w:val="3A282FB0"/>
    <w:rsid w:val="3A2F7418"/>
    <w:rsid w:val="3D4E2867"/>
    <w:rsid w:val="3DF15DAF"/>
    <w:rsid w:val="42DE25ED"/>
    <w:rsid w:val="43903FD4"/>
    <w:rsid w:val="446C43E1"/>
    <w:rsid w:val="448E07FB"/>
    <w:rsid w:val="45B1409B"/>
    <w:rsid w:val="46136855"/>
    <w:rsid w:val="477B0C21"/>
    <w:rsid w:val="47954D07"/>
    <w:rsid w:val="49415E3C"/>
    <w:rsid w:val="49F16E16"/>
    <w:rsid w:val="4A833B86"/>
    <w:rsid w:val="4B7B0E38"/>
    <w:rsid w:val="4C3929FC"/>
    <w:rsid w:val="4C8F331D"/>
    <w:rsid w:val="4E2207FC"/>
    <w:rsid w:val="4FD55530"/>
    <w:rsid w:val="511D3238"/>
    <w:rsid w:val="553A466A"/>
    <w:rsid w:val="56EA5E07"/>
    <w:rsid w:val="57A02FED"/>
    <w:rsid w:val="581F37ED"/>
    <w:rsid w:val="5D6D6DA8"/>
    <w:rsid w:val="622928C7"/>
    <w:rsid w:val="640702F6"/>
    <w:rsid w:val="64BC23C3"/>
    <w:rsid w:val="658F7382"/>
    <w:rsid w:val="667E1760"/>
    <w:rsid w:val="676C6322"/>
    <w:rsid w:val="6A0C333F"/>
    <w:rsid w:val="6ACF5FB6"/>
    <w:rsid w:val="6DC06E97"/>
    <w:rsid w:val="6F23306A"/>
    <w:rsid w:val="6FDD0285"/>
    <w:rsid w:val="70FC60D0"/>
    <w:rsid w:val="713C2FB5"/>
    <w:rsid w:val="71DB6FD3"/>
    <w:rsid w:val="71E415DB"/>
    <w:rsid w:val="73F25315"/>
    <w:rsid w:val="74196E47"/>
    <w:rsid w:val="751F0719"/>
    <w:rsid w:val="76296BDC"/>
    <w:rsid w:val="77660A29"/>
    <w:rsid w:val="79E8523D"/>
    <w:rsid w:val="7B5829EE"/>
    <w:rsid w:val="7B95779E"/>
    <w:rsid w:val="7BF0749C"/>
    <w:rsid w:val="7CCB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1"/>
    <w:pPr>
      <w:spacing w:after="12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rFonts w:ascii="Calibri" w:hAnsi="Calibri" w:eastAsia="宋体" w:cs="Times New Roman"/>
      <w:sz w:val="18"/>
      <w:szCs w:val="18"/>
    </w:rPr>
  </w:style>
  <w:style w:type="paragraph" w:customStyle="1" w:styleId="15">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qFormat/>
    <w:uiPriority w:val="1"/>
    <w:rPr>
      <w:rFonts w:ascii="Calibri" w:hAnsi="Calibri" w:eastAsia="宋体" w:cs="Times New Roman"/>
    </w:rPr>
  </w:style>
  <w:style w:type="paragraph" w:styleId="17">
    <w:name w:val="List Paragraph"/>
    <w:basedOn w:val="1"/>
    <w:qFormat/>
    <w:uiPriority w:val="34"/>
    <w:pPr>
      <w:ind w:firstLine="420" w:firstLineChars="200"/>
    </w:pPr>
  </w:style>
  <w:style w:type="character" w:customStyle="1" w:styleId="18">
    <w:name w:val="font21"/>
    <w:basedOn w:val="9"/>
    <w:qFormat/>
    <w:uiPriority w:val="0"/>
    <w:rPr>
      <w:rFonts w:ascii="Calibri" w:hAnsi="Calibri" w:cs="Calibri"/>
      <w:color w:val="000000"/>
      <w:sz w:val="22"/>
      <w:szCs w:val="22"/>
      <w:u w:val="none"/>
    </w:rPr>
  </w:style>
  <w:style w:type="character" w:customStyle="1" w:styleId="19">
    <w:name w:val="font31"/>
    <w:basedOn w:val="9"/>
    <w:qFormat/>
    <w:uiPriority w:val="0"/>
    <w:rPr>
      <w:rFonts w:hint="eastAsia" w:ascii="宋体" w:hAnsi="宋体" w:eastAsia="宋体" w:cs="宋体"/>
      <w:color w:val="000000"/>
      <w:sz w:val="22"/>
      <w:szCs w:val="22"/>
      <w:u w:val="none"/>
    </w:rPr>
  </w:style>
  <w:style w:type="character" w:customStyle="1" w:styleId="20">
    <w:name w:val="font41"/>
    <w:basedOn w:val="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EB27C-5E05-4554-84F0-82C5943CA8F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1448</Words>
  <Characters>8258</Characters>
  <Lines>68</Lines>
  <Paragraphs>19</Paragraphs>
  <TotalTime>0</TotalTime>
  <ScaleCrop>false</ScaleCrop>
  <LinksUpToDate>false</LinksUpToDate>
  <CharactersWithSpaces>9687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2024-03-13T04:52:55Z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B574BF43E1BA4B108AFB897567076DED</vt:lpwstr>
  </property>
</Properties>
</file>