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ind w:firstLine="880" w:firstLineChars="200"/>
        <w:jc w:val="center"/>
        <w:outlineLvl w:val="0"/>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bookmarkStart w:id="0" w:name="_Toc398"/>
      <w:bookmarkStart w:id="1" w:name="_Toc21624"/>
      <w:bookmarkStart w:id="2" w:name="_Toc11597"/>
      <w:bookmarkStart w:id="3" w:name="_Toc10769"/>
      <w:bookmarkStart w:id="4" w:name="_Toc13783"/>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石家庄财经商贸学校</w:t>
      </w:r>
    </w:p>
    <w:p>
      <w:pPr>
        <w:spacing w:after="156" w:afterLines="50" w:line="560" w:lineRule="exact"/>
        <w:ind w:firstLine="880" w:firstLineChars="200"/>
        <w:jc w:val="center"/>
        <w:outlineLvl w:val="0"/>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22级天津春考班</w:t>
      </w:r>
    </w:p>
    <w:p>
      <w:pPr>
        <w:spacing w:after="156" w:afterLines="50" w:line="560" w:lineRule="exact"/>
        <w:ind w:firstLine="880" w:firstLineChars="200"/>
        <w:jc w:val="center"/>
        <w:outlineLvl w:val="0"/>
        <w:rPr>
          <w:rFonts w:hint="eastAsia" w:ascii="黑体" w:hAnsi="黑体" w:eastAsia="黑体" w:cs="黑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计算机网络技术</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专业人才培养方案</w:t>
      </w:r>
      <w:bookmarkEnd w:id="0"/>
      <w:bookmarkEnd w:id="1"/>
      <w:bookmarkEnd w:id="2"/>
      <w:bookmarkEnd w:id="3"/>
      <w:bookmarkEnd w:id="4"/>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5" w:name="_Toc18664"/>
      <w:bookmarkStart w:id="6" w:name="_Toc21600"/>
      <w:r>
        <w:rPr>
          <w:rFonts w:hint="eastAsia" w:ascii="黑体" w:hAnsi="黑体" w:eastAsia="黑体" w:cs="黑体"/>
          <w:color w:val="000000" w:themeColor="text1"/>
          <w:sz w:val="32"/>
          <w:szCs w:val="32"/>
          <w14:textFill>
            <w14:solidFill>
              <w14:schemeClr w14:val="tx1"/>
            </w14:solidFill>
          </w14:textFill>
        </w:rPr>
        <w:t>一、专业名称及代码</w:t>
      </w:r>
      <w:bookmarkEnd w:id="5"/>
      <w:bookmarkEnd w:id="6"/>
      <w:bookmarkStart w:id="59" w:name="_GoBack"/>
      <w:bookmarkEnd w:id="59"/>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专业名称：</w:t>
      </w:r>
      <w:r>
        <w:rPr>
          <w:rFonts w:hint="eastAsia" w:ascii="仿宋" w:hAnsi="仿宋" w:eastAsia="仿宋" w:cs="仿宋"/>
          <w:bCs/>
          <w:color w:val="000000" w:themeColor="text1"/>
          <w:sz w:val="32"/>
          <w:szCs w:val="32"/>
          <w:lang w:val="en-US" w:eastAsia="zh-CN"/>
          <w14:textFill>
            <w14:solidFill>
              <w14:schemeClr w14:val="tx1"/>
            </w14:solidFill>
          </w14:textFill>
        </w:rPr>
        <w:t>计算机网络技术</w:t>
      </w:r>
    </w:p>
    <w:p>
      <w:pPr>
        <w:keepNext w:val="0"/>
        <w:keepLines w:val="0"/>
        <w:widowControl/>
        <w:suppressLineNumbers w:val="0"/>
        <w:ind w:firstLine="640" w:firstLineChars="200"/>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专业代码：</w:t>
      </w:r>
      <w:r>
        <w:rPr>
          <w:rFonts w:hint="default" w:ascii="仿宋" w:hAnsi="仿宋" w:eastAsia="仿宋" w:cs="仿宋"/>
          <w:bCs/>
          <w:color w:val="000000" w:themeColor="text1"/>
          <w:sz w:val="32"/>
          <w:szCs w:val="32"/>
          <w:lang w:val="en-US" w:eastAsia="zh-CN"/>
          <w14:textFill>
            <w14:solidFill>
              <w14:schemeClr w14:val="tx1"/>
            </w14:solidFill>
          </w14:textFill>
        </w:rPr>
        <w:t>710202</w:t>
      </w:r>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7" w:name="_Toc30546"/>
      <w:bookmarkStart w:id="8" w:name="_Toc9277"/>
      <w:r>
        <w:rPr>
          <w:rFonts w:hint="eastAsia" w:ascii="黑体" w:hAnsi="黑体" w:eastAsia="黑体" w:cs="黑体"/>
          <w:color w:val="000000" w:themeColor="text1"/>
          <w:sz w:val="32"/>
          <w:szCs w:val="32"/>
          <w14:textFill>
            <w14:solidFill>
              <w14:schemeClr w14:val="tx1"/>
            </w14:solidFill>
          </w14:textFill>
        </w:rPr>
        <w:t>二、入学要求</w:t>
      </w:r>
      <w:bookmarkEnd w:id="7"/>
      <w:bookmarkEnd w:id="8"/>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本专业招收</w:t>
      </w:r>
      <w:r>
        <w:rPr>
          <w:rFonts w:hint="eastAsia" w:ascii="仿宋" w:hAnsi="仿宋" w:eastAsia="仿宋" w:cs="仿宋"/>
          <w:color w:val="000000" w:themeColor="text1"/>
          <w:sz w:val="32"/>
          <w:szCs w:val="32"/>
          <w14:textFill>
            <w14:solidFill>
              <w14:schemeClr w14:val="tx1"/>
            </w14:solidFill>
          </w14:textFill>
        </w:rPr>
        <w:t>初中毕业生或具有同等学力者</w:t>
      </w:r>
      <w:r>
        <w:rPr>
          <w:rFonts w:hint="eastAsia" w:ascii="仿宋" w:hAnsi="仿宋" w:eastAsia="仿宋" w:cs="仿宋"/>
          <w:color w:val="000000" w:themeColor="text1"/>
          <w:sz w:val="32"/>
          <w:szCs w:val="32"/>
          <w:lang w:eastAsia="zh-CN"/>
          <w14:textFill>
            <w14:solidFill>
              <w14:schemeClr w14:val="tx1"/>
            </w14:solidFill>
          </w14:textFill>
        </w:rPr>
        <w:t>。</w:t>
      </w:r>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9" w:name="_Toc20511"/>
      <w:bookmarkStart w:id="10" w:name="_Toc31958"/>
      <w:r>
        <w:rPr>
          <w:rFonts w:hint="eastAsia" w:ascii="黑体" w:hAnsi="黑体" w:eastAsia="黑体" w:cs="黑体"/>
          <w:color w:val="000000" w:themeColor="text1"/>
          <w:sz w:val="32"/>
          <w:szCs w:val="32"/>
          <w14:textFill>
            <w14:solidFill>
              <w14:schemeClr w14:val="tx1"/>
            </w14:solidFill>
          </w14:textFill>
        </w:rPr>
        <w:t>三、修业年限</w:t>
      </w:r>
      <w:bookmarkEnd w:id="9"/>
      <w:bookmarkEnd w:id="10"/>
    </w:p>
    <w:p>
      <w:pPr>
        <w:keepNext w:val="0"/>
        <w:keepLines w:val="0"/>
        <w:widowControl/>
        <w:suppressLineNumbers w:val="0"/>
        <w:ind w:firstLine="620" w:firstLineChars="200"/>
        <w:jc w:val="left"/>
        <w:rPr>
          <w:rFonts w:ascii="仿宋" w:hAnsi="仿宋" w:eastAsia="仿宋" w:cs="仿宋"/>
          <w:bCs/>
          <w:color w:val="000000" w:themeColor="text1"/>
          <w:sz w:val="32"/>
          <w:szCs w:val="32"/>
          <w14:textFill>
            <w14:solidFill>
              <w14:schemeClr w14:val="tx1"/>
            </w14:solidFill>
          </w14:textFill>
        </w:rPr>
      </w:pPr>
      <w:r>
        <w:rPr>
          <w:rFonts w:ascii="仿宋" w:hAnsi="仿宋" w:eastAsia="仿宋" w:cs="仿宋"/>
          <w:color w:val="000000"/>
          <w:kern w:val="0"/>
          <w:sz w:val="31"/>
          <w:szCs w:val="31"/>
          <w:lang w:val="en-US" w:eastAsia="zh-CN" w:bidi="ar"/>
        </w:rPr>
        <w:t>2年（石家庄财经商贸学校）+1年（天津第一商业学校）</w:t>
      </w:r>
    </w:p>
    <w:p>
      <w:pPr>
        <w:spacing w:line="560" w:lineRule="exact"/>
        <w:ind w:firstLine="640" w:firstLineChars="200"/>
        <w:jc w:val="left"/>
        <w:outlineLvl w:val="0"/>
        <w:rPr>
          <w:rFonts w:hint="eastAsia" w:ascii="黑体" w:hAnsi="黑体" w:eastAsia="黑体" w:cs="黑体"/>
          <w:color w:val="000000" w:themeColor="text1"/>
          <w:sz w:val="32"/>
          <w:szCs w:val="32"/>
          <w14:textFill>
            <w14:solidFill>
              <w14:schemeClr w14:val="tx1"/>
            </w14:solidFill>
          </w14:textFill>
        </w:rPr>
      </w:pPr>
      <w:bookmarkStart w:id="11" w:name="_Toc23741"/>
      <w:bookmarkStart w:id="12" w:name="_Toc15542"/>
      <w:r>
        <w:rPr>
          <w:rFonts w:hint="eastAsia" w:ascii="黑体" w:hAnsi="黑体" w:eastAsia="黑体" w:cs="黑体"/>
          <w:color w:val="000000" w:themeColor="text1"/>
          <w:sz w:val="32"/>
          <w:szCs w:val="32"/>
          <w14:textFill>
            <w14:solidFill>
              <w14:schemeClr w14:val="tx1"/>
            </w14:solidFill>
          </w14:textFill>
        </w:rPr>
        <w:t>四、职业面向</w:t>
      </w:r>
      <w:bookmarkEnd w:id="11"/>
      <w:bookmarkEnd w:id="12"/>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7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所属专业大类</w:t>
            </w:r>
          </w:p>
        </w:tc>
        <w:tc>
          <w:tcPr>
            <w:tcW w:w="7142" w:type="dxa"/>
            <w:vAlign w:val="center"/>
          </w:tcPr>
          <w:p>
            <w:pPr>
              <w:keepNext w:val="0"/>
              <w:keepLines w:val="0"/>
              <w:pageBreakBefore w:val="0"/>
              <w:kinsoku/>
              <w:wordWrap/>
              <w:overflowPunct/>
              <w:topLinePunct w:val="0"/>
              <w:autoSpaceDE/>
              <w:autoSpaceDN/>
              <w:bidi w:val="0"/>
              <w:adjustRightInd/>
              <w:spacing w:line="400" w:lineRule="exact"/>
              <w:jc w:val="both"/>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default" w:ascii="仿宋" w:hAnsi="仿宋" w:eastAsia="仿宋" w:cs="仿宋"/>
                <w:bCs/>
                <w:color w:val="000000" w:themeColor="text1"/>
                <w:kern w:val="0"/>
                <w:sz w:val="24"/>
                <w:szCs w:val="24"/>
                <w:lang w:val="en-US" w:eastAsia="zh-CN"/>
                <w14:textFill>
                  <w14:solidFill>
                    <w14:schemeClr w14:val="tx1"/>
                  </w14:solidFill>
                </w14:textFill>
              </w:rPr>
              <w:t xml:space="preserve">71 </w:t>
            </w:r>
            <w:r>
              <w:rPr>
                <w:rFonts w:hint="eastAsia" w:ascii="仿宋" w:hAnsi="仿宋" w:eastAsia="仿宋" w:cs="仿宋"/>
                <w:bCs/>
                <w:color w:val="000000" w:themeColor="text1"/>
                <w:kern w:val="0"/>
                <w:sz w:val="24"/>
                <w:szCs w:val="24"/>
                <w:lang w:val="en-US" w:eastAsia="zh-CN"/>
                <w14:textFill>
                  <w14:solidFill>
                    <w14:schemeClr w14:val="tx1"/>
                  </w14:solidFill>
                </w14:textFill>
              </w:rPr>
              <w:t>电子与信息大类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所属专业类</w:t>
            </w:r>
          </w:p>
        </w:tc>
        <w:tc>
          <w:tcPr>
            <w:tcW w:w="7142"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7102计算机</w:t>
            </w:r>
            <w:r>
              <w:rPr>
                <w:rFonts w:hint="eastAsia" w:ascii="仿宋" w:hAnsi="仿宋" w:eastAsia="仿宋" w:cs="仿宋"/>
                <w:bCs/>
                <w:color w:val="000000" w:themeColor="text1"/>
                <w:kern w:val="0"/>
                <w:sz w:val="24"/>
                <w:szCs w:val="24"/>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主要</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类别</w:t>
            </w:r>
          </w:p>
        </w:tc>
        <w:tc>
          <w:tcPr>
            <w:tcW w:w="7142" w:type="dxa"/>
            <w:vAlign w:val="center"/>
          </w:tcPr>
          <w:p>
            <w:pPr>
              <w:keepNext w:val="0"/>
              <w:keepLines w:val="0"/>
              <w:widowControl/>
              <w:suppressLineNumbers w:val="0"/>
              <w:jc w:val="left"/>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计算机网络工程技术人员（2-02-10-04）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主要岗位（群）</w:t>
            </w:r>
          </w:p>
        </w:tc>
        <w:tc>
          <w:tcPr>
            <w:tcW w:w="7142"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面向信息和通信工程技术、信息通信网络维护、信息通信网络运行管理、计算机和办公设备维修等职业，网络产品服务与营销、网络部署与系统集成、网络管理与维护、网站运行与维护等技术领域。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职业资格</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技能证书</w:t>
            </w:r>
            <w:r>
              <w:rPr>
                <w:rFonts w:hint="eastAsia" w:ascii="仿宋" w:hAnsi="仿宋" w:eastAsia="仿宋" w:cs="仿宋"/>
                <w:bCs/>
                <w:color w:val="000000" w:themeColor="text1"/>
                <w:kern w:val="0"/>
                <w:sz w:val="24"/>
                <w:szCs w:val="24"/>
                <w:lang w:val="en-US" w:eastAsia="zh-CN"/>
                <w14:textFill>
                  <w14:solidFill>
                    <w14:schemeClr w14:val="tx1"/>
                  </w14:solidFill>
                </w14:textFill>
              </w:rPr>
              <w:t>举例</w:t>
            </w:r>
          </w:p>
        </w:tc>
        <w:tc>
          <w:tcPr>
            <w:tcW w:w="714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计算机等级证书</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一级</w:t>
            </w:r>
            <w:r>
              <w:rPr>
                <w:rFonts w:hint="eastAsia" w:ascii="仿宋" w:hAnsi="仿宋" w:eastAsia="仿宋" w:cs="仿宋"/>
                <w:color w:val="000000" w:themeColor="text1"/>
                <w:sz w:val="24"/>
                <w:szCs w:val="24"/>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color w:val="000000" w:themeColor="text1"/>
                <w:sz w:val="24"/>
                <w:szCs w:val="24"/>
                <w14:textFill>
                  <w14:solidFill>
                    <w14:schemeClr w14:val="tx1"/>
                  </w14:solidFill>
                </w14:textFill>
              </w:rPr>
            </w:pPr>
            <w:bookmarkStart w:id="13" w:name="_Toc29405"/>
            <w:bookmarkStart w:id="14" w:name="_Toc30533"/>
            <w:bookmarkStart w:id="15" w:name="_Toc7422"/>
            <w:bookmarkStart w:id="16" w:name="_Toc14137"/>
            <w:r>
              <w:rPr>
                <w:rFonts w:hint="eastAsia" w:ascii="仿宋" w:hAnsi="仿宋" w:eastAsia="仿宋" w:cs="仿宋"/>
                <w:color w:val="000000" w:themeColor="text1"/>
                <w:sz w:val="24"/>
                <w:szCs w:val="24"/>
                <w14:textFill>
                  <w14:solidFill>
                    <w14:schemeClr w14:val="tx1"/>
                  </w14:solidFill>
                </w14:textFill>
              </w:rPr>
              <w:t>普通话证书</w:t>
            </w:r>
            <w:bookmarkEnd w:id="13"/>
            <w:bookmarkEnd w:id="14"/>
            <w:bookmarkEnd w:id="15"/>
            <w:bookmarkEnd w:id="16"/>
          </w:p>
        </w:tc>
      </w:tr>
    </w:tbl>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17" w:name="_Toc4171"/>
      <w:bookmarkStart w:id="18" w:name="_Toc12049"/>
      <w:r>
        <w:rPr>
          <w:rFonts w:hint="eastAsia" w:ascii="黑体" w:hAnsi="黑体" w:eastAsia="黑体" w:cs="黑体"/>
          <w:color w:val="000000" w:themeColor="text1"/>
          <w:sz w:val="32"/>
          <w:szCs w:val="32"/>
          <w14:textFill>
            <w14:solidFill>
              <w14:schemeClr w14:val="tx1"/>
            </w14:solidFill>
          </w14:textFill>
        </w:rPr>
        <w:t>五、培养目标</w:t>
      </w:r>
      <w:bookmarkEnd w:id="17"/>
      <w:bookmarkEnd w:id="18"/>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本专业坚持立德树人，培养德智体美劳全面发展的、具有与本专业相适应的文化水平和良好的职业道德的技术技能型人才</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具备健全的能力结构和创新精神，拥有良好的政治素质、人文素质和职业素养，掌握必需的文化基础知识，专业技术知识和操作技能，具有一定创新意识和自主学习能力，通过参加春季高考进入高等院校继续深造</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jc w:val="left"/>
        <w:outlineLvl w:val="0"/>
        <w:rPr>
          <w:rFonts w:hint="eastAsia" w:ascii="楷体" w:hAnsi="楷体" w:eastAsia="楷体" w:cs="楷体"/>
          <w:color w:val="000000" w:themeColor="text1"/>
          <w:sz w:val="32"/>
          <w:szCs w:val="32"/>
          <w14:textFill>
            <w14:solidFill>
              <w14:schemeClr w14:val="tx1"/>
            </w14:solidFill>
          </w14:textFill>
        </w:rPr>
      </w:pPr>
      <w:bookmarkStart w:id="19" w:name="_Toc4434"/>
      <w:bookmarkStart w:id="20" w:name="_Toc1409"/>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、培养规格</w:t>
      </w:r>
      <w:bookmarkEnd w:id="19"/>
      <w:bookmarkEnd w:id="20"/>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21" w:name="_Toc13629"/>
      <w:bookmarkStart w:id="22" w:name="_Toc28457"/>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一</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素质</w:t>
      </w:r>
      <w:bookmarkEnd w:id="21"/>
      <w:bookmarkEnd w:id="22"/>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1.践行社会主义核心价值观，具有深厚的爱国情感和中华民族自豪感</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2.崇尚宪法、遵法守纪、崇德向善、诚实守信、尊重生命、热爱劳动，履行道德准则和行为规范，具有社会责任感和社会参与意识;</w:t>
      </w:r>
    </w:p>
    <w:p>
      <w:pPr>
        <w:spacing w:line="56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爱岗敬业，诚实守信，廉洁自律，坚持准则，具有严谨细致、客观公正的职业精神和强化服务、参与管理的职业意识；</w:t>
      </w:r>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具有质量意识、环保意识、安全意识、信息素养、工匠精神、创新思维</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lang w:eastAsia="zh-CN"/>
          <w14:textFill>
            <w14:solidFill>
              <w14:schemeClr w14:val="tx1"/>
            </w14:solidFill>
          </w14:textFill>
        </w:rPr>
        <w:t>.具有坚韧不拔的毅力、积极乐观的态度、良好的人际关系、健全的人格品质，</w:t>
      </w:r>
      <w:r>
        <w:rPr>
          <w:rFonts w:hint="eastAsia" w:ascii="仿宋" w:hAnsi="仿宋" w:eastAsia="仿宋" w:cs="仿宋"/>
          <w:bCs/>
          <w:color w:val="000000" w:themeColor="text1"/>
          <w:sz w:val="32"/>
          <w:szCs w:val="32"/>
          <w14:textFill>
            <w14:solidFill>
              <w14:schemeClr w14:val="tx1"/>
            </w14:solidFill>
          </w14:textFill>
        </w:rPr>
        <w:t>有较强的团队合作精神</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3" w:firstLineChars="200"/>
        <w:jc w:val="left"/>
        <w:outlineLvl w:val="1"/>
        <w:rPr>
          <w:rFonts w:hint="eastAsia" w:ascii="楷体" w:hAnsi="楷体" w:eastAsia="楷体" w:cs="楷体"/>
          <w:b/>
          <w:bCs/>
          <w:color w:val="000000" w:themeColor="text1"/>
          <w:sz w:val="32"/>
          <w:szCs w:val="32"/>
          <w:lang w:eastAsia="zh-CN"/>
          <w14:textFill>
            <w14:solidFill>
              <w14:schemeClr w14:val="tx1"/>
            </w14:solidFill>
          </w14:textFill>
        </w:rPr>
      </w:pPr>
      <w:bookmarkStart w:id="23" w:name="_Toc31658"/>
      <w:bookmarkStart w:id="24" w:name="_Toc29304"/>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lang w:eastAsia="zh-CN"/>
          <w14:textFill>
            <w14:solidFill>
              <w14:schemeClr w14:val="tx1"/>
            </w14:solidFill>
          </w14:textFill>
        </w:rPr>
        <w:t>）知识</w:t>
      </w:r>
      <w:bookmarkEnd w:id="23"/>
      <w:bookmarkEnd w:id="24"/>
    </w:p>
    <w:p>
      <w:pPr>
        <w:spacing w:line="560" w:lineRule="exact"/>
        <w:ind w:firstLine="640" w:firstLineChars="200"/>
        <w:jc w:val="left"/>
        <w:rPr>
          <w:rFonts w:hint="eastAsia" w:ascii="仿宋" w:hAnsi="仿宋" w:eastAsia="仿宋" w:cs="仿宋"/>
          <w:bCs/>
          <w:color w:val="000000" w:themeColor="text1"/>
          <w:sz w:val="32"/>
          <w:szCs w:val="32"/>
          <w:lang w:val="en-US" w:eastAsia="zh-CN"/>
          <w14:textFill>
            <w14:solidFill>
              <w14:schemeClr w14:val="tx1"/>
            </w14:solidFill>
          </w14:textFill>
        </w:rPr>
      </w:pPr>
      <w:bookmarkStart w:id="25" w:name="_Toc21028"/>
      <w:bookmarkStart w:id="26" w:name="_Toc23620"/>
      <w:r>
        <w:rPr>
          <w:rFonts w:hint="eastAsia" w:ascii="仿宋" w:hAnsi="仿宋" w:eastAsia="仿宋" w:cs="仿宋"/>
          <w:bCs/>
          <w:color w:val="000000" w:themeColor="text1"/>
          <w:sz w:val="32"/>
          <w:szCs w:val="32"/>
          <w:lang w:val="en-US" w:eastAsia="zh-CN"/>
          <w14:textFill>
            <w14:solidFill>
              <w14:schemeClr w14:val="tx1"/>
            </w14:solidFill>
          </w14:textFill>
        </w:rPr>
        <w:t>1.具有满足未来升入高职院校所必备的文化基础知识、专业基础理论知识、专业技能知识；</w:t>
      </w:r>
    </w:p>
    <w:p>
      <w:pPr>
        <w:spacing w:line="560" w:lineRule="exact"/>
        <w:ind w:firstLine="640" w:firstLineChars="200"/>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2.具有与本专业相适应的互补性知识和能力拓展性知识；</w:t>
      </w:r>
    </w:p>
    <w:p>
      <w:pPr>
        <w:spacing w:line="560" w:lineRule="exact"/>
        <w:ind w:firstLine="640" w:firstLineChars="200"/>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3.具备计算机专业基础能力，平面设计制作等主要专业能力。</w:t>
      </w:r>
    </w:p>
    <w:p>
      <w:pPr>
        <w:spacing w:line="560" w:lineRule="exact"/>
        <w:ind w:firstLine="643" w:firstLineChars="200"/>
        <w:jc w:val="left"/>
        <w:rPr>
          <w:rFonts w:hint="eastAsia" w:ascii="楷体" w:hAnsi="楷体" w:eastAsia="楷体" w:cs="楷体"/>
          <w:b/>
          <w:bCs w:val="0"/>
          <w:color w:val="000000" w:themeColor="text1"/>
          <w:sz w:val="32"/>
          <w:szCs w:val="32"/>
          <w14:textFill>
            <w14:solidFill>
              <w14:schemeClr w14:val="tx1"/>
            </w14:solidFill>
          </w14:textFill>
        </w:rPr>
      </w:pPr>
      <w:r>
        <w:rPr>
          <w:rFonts w:hint="eastAsia" w:ascii="楷体" w:hAnsi="楷体" w:eastAsia="楷体" w:cs="楷体"/>
          <w:b/>
          <w:bCs w:val="0"/>
          <w:color w:val="000000" w:themeColor="text1"/>
          <w:sz w:val="32"/>
          <w:szCs w:val="32"/>
          <w:lang w:eastAsia="zh-CN"/>
          <w14:textFill>
            <w14:solidFill>
              <w14:schemeClr w14:val="tx1"/>
            </w14:solidFill>
          </w14:textFill>
        </w:rPr>
        <w:t>（</w:t>
      </w:r>
      <w:r>
        <w:rPr>
          <w:rFonts w:hint="eastAsia" w:ascii="楷体" w:hAnsi="楷体" w:eastAsia="楷体" w:cs="楷体"/>
          <w:b/>
          <w:bCs w:val="0"/>
          <w:color w:val="000000" w:themeColor="text1"/>
          <w:sz w:val="32"/>
          <w:szCs w:val="32"/>
          <w:lang w:val="en-US" w:eastAsia="zh-CN"/>
          <w14:textFill>
            <w14:solidFill>
              <w14:schemeClr w14:val="tx1"/>
            </w14:solidFill>
          </w14:textFill>
        </w:rPr>
        <w:t>三</w:t>
      </w:r>
      <w:r>
        <w:rPr>
          <w:rFonts w:hint="eastAsia" w:ascii="楷体" w:hAnsi="楷体" w:eastAsia="楷体" w:cs="楷体"/>
          <w:b/>
          <w:bCs w:val="0"/>
          <w:color w:val="000000" w:themeColor="text1"/>
          <w:sz w:val="32"/>
          <w:szCs w:val="32"/>
          <w:lang w:eastAsia="zh-CN"/>
          <w14:textFill>
            <w14:solidFill>
              <w14:schemeClr w14:val="tx1"/>
            </w14:solidFill>
          </w14:textFill>
        </w:rPr>
        <w:t>）</w:t>
      </w:r>
      <w:r>
        <w:rPr>
          <w:rFonts w:hint="eastAsia" w:ascii="楷体" w:hAnsi="楷体" w:eastAsia="楷体" w:cs="楷体"/>
          <w:b/>
          <w:bCs w:val="0"/>
          <w:color w:val="000000" w:themeColor="text1"/>
          <w:sz w:val="32"/>
          <w:szCs w:val="32"/>
          <w14:textFill>
            <w14:solidFill>
              <w14:schemeClr w14:val="tx1"/>
            </w14:solidFill>
          </w14:textFill>
        </w:rPr>
        <w:t>能力</w:t>
      </w:r>
      <w:bookmarkEnd w:id="25"/>
      <w:bookmarkEnd w:id="26"/>
    </w:p>
    <w:p>
      <w:pPr>
        <w:spacing w:line="560" w:lineRule="exact"/>
        <w:ind w:firstLine="640" w:firstLineChars="200"/>
        <w:jc w:val="left"/>
        <w:rPr>
          <w:rFonts w:hint="eastAsia" w:ascii="仿宋" w:hAnsi="仿宋" w:eastAsia="仿宋" w:cs="仿宋"/>
          <w:bCs/>
          <w:color w:val="000000" w:themeColor="text1"/>
          <w:sz w:val="32"/>
          <w:szCs w:val="32"/>
          <w:lang w:val="zh-CN"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lang w:val="zh-CN" w:eastAsia="zh-CN"/>
          <w14:textFill>
            <w14:solidFill>
              <w14:schemeClr w14:val="tx1"/>
            </w14:solidFill>
          </w14:textFill>
        </w:rPr>
        <w:t>具备一定的逻辑思维能力、抽象思维能力和语言沟通能力；</w:t>
      </w:r>
    </w:p>
    <w:p>
      <w:pPr>
        <w:spacing w:line="560" w:lineRule="exact"/>
        <w:ind w:firstLine="640" w:firstLineChars="200"/>
        <w:jc w:val="left"/>
        <w:rPr>
          <w:rFonts w:hint="eastAsia" w:ascii="仿宋" w:hAnsi="仿宋" w:eastAsia="仿宋" w:cs="仿宋"/>
          <w:bCs/>
          <w:color w:val="000000" w:themeColor="text1"/>
          <w:sz w:val="32"/>
          <w:szCs w:val="32"/>
          <w:lang w:val="zh-CN"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lang w:val="zh-CN" w:eastAsia="zh-CN"/>
          <w14:textFill>
            <w14:solidFill>
              <w14:schemeClr w14:val="tx1"/>
            </w14:solidFill>
          </w14:textFill>
        </w:rPr>
        <w:t>具备计算机专业基础能力；</w:t>
      </w:r>
    </w:p>
    <w:p>
      <w:pPr>
        <w:spacing w:line="560" w:lineRule="exact"/>
        <w:ind w:firstLine="640" w:firstLineChars="200"/>
        <w:jc w:val="left"/>
        <w:rPr>
          <w:rFonts w:hint="eastAsia" w:ascii="仿宋" w:hAnsi="仿宋" w:eastAsia="仿宋" w:cs="仿宋"/>
          <w:bCs/>
          <w:color w:val="000000" w:themeColor="text1"/>
          <w:sz w:val="32"/>
          <w:szCs w:val="32"/>
          <w:lang w:val="zh-CN"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lang w:val="zh-CN" w:eastAsia="zh-CN"/>
          <w14:textFill>
            <w14:solidFill>
              <w14:schemeClr w14:val="tx1"/>
            </w14:solidFill>
          </w14:textFill>
        </w:rPr>
        <w:t>具备平面设计制作等主要专业能力；</w:t>
      </w:r>
    </w:p>
    <w:p>
      <w:pPr>
        <w:spacing w:line="560" w:lineRule="exact"/>
        <w:ind w:firstLine="640" w:firstLineChars="200"/>
        <w:jc w:val="left"/>
        <w:rPr>
          <w:rFonts w:hint="eastAsia" w:ascii="仿宋" w:hAnsi="仿宋" w:eastAsia="仿宋" w:cs="仿宋"/>
          <w:bCs/>
          <w:color w:val="000000" w:themeColor="text1"/>
          <w:sz w:val="32"/>
          <w:szCs w:val="32"/>
          <w:lang w:val="zh-CN"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val="zh-CN" w:eastAsia="zh-CN"/>
          <w14:textFill>
            <w14:solidFill>
              <w14:schemeClr w14:val="tx1"/>
            </w14:solidFill>
          </w14:textFill>
        </w:rPr>
        <w:t>具有一定创新意识和自主学习能力。</w:t>
      </w:r>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27" w:name="_Toc25735"/>
      <w:bookmarkStart w:id="28" w:name="_Toc31386"/>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、课程设置及要求</w:t>
      </w:r>
      <w:bookmarkEnd w:id="27"/>
      <w:bookmarkEnd w:id="28"/>
    </w:p>
    <w:p>
      <w:pPr>
        <w:spacing w:line="560" w:lineRule="exact"/>
        <w:ind w:firstLine="643" w:firstLineChars="200"/>
        <w:jc w:val="left"/>
        <w:outlineLvl w:val="1"/>
        <w:rPr>
          <w:rFonts w:hint="eastAsia" w:ascii="楷体" w:hAnsi="楷体" w:eastAsia="楷体" w:cs="楷体"/>
          <w:b/>
          <w:bCs/>
          <w:color w:val="000000" w:themeColor="text1"/>
          <w:sz w:val="32"/>
          <w:szCs w:val="32"/>
          <w:lang w:eastAsia="zh-CN"/>
          <w14:textFill>
            <w14:solidFill>
              <w14:schemeClr w14:val="tx1"/>
            </w14:solidFill>
          </w14:textFill>
        </w:rPr>
      </w:pPr>
      <w:bookmarkStart w:id="29" w:name="_Toc8029"/>
      <w:bookmarkStart w:id="30" w:name="_Toc12132"/>
      <w:r>
        <w:rPr>
          <w:rFonts w:hint="eastAsia" w:ascii="楷体" w:hAnsi="楷体" w:eastAsia="楷体" w:cs="楷体"/>
          <w:b/>
          <w:bCs/>
          <w:color w:val="000000" w:themeColor="text1"/>
          <w:sz w:val="32"/>
          <w:szCs w:val="32"/>
          <w14:textFill>
            <w14:solidFill>
              <w14:schemeClr w14:val="tx1"/>
            </w14:solidFill>
          </w14:textFill>
        </w:rPr>
        <w:t>（一）公共基础课程</w:t>
      </w:r>
      <w:bookmarkEnd w:id="29"/>
      <w:bookmarkEnd w:id="30"/>
    </w:p>
    <w:tbl>
      <w:tblPr>
        <w:tblStyle w:val="10"/>
        <w:tblW w:w="9195" w:type="dxa"/>
        <w:jc w:val="center"/>
        <w:tblLayout w:type="autofit"/>
        <w:tblCellMar>
          <w:top w:w="0" w:type="dxa"/>
          <w:left w:w="108" w:type="dxa"/>
          <w:bottom w:w="0" w:type="dxa"/>
          <w:right w:w="108" w:type="dxa"/>
        </w:tblCellMar>
      </w:tblPr>
      <w:tblGrid>
        <w:gridCol w:w="609"/>
        <w:gridCol w:w="1368"/>
        <w:gridCol w:w="7218"/>
      </w:tblGrid>
      <w:tr>
        <w:tblPrEx>
          <w:tblCellMar>
            <w:top w:w="0" w:type="dxa"/>
            <w:left w:w="108" w:type="dxa"/>
            <w:bottom w:w="0" w:type="dxa"/>
            <w:right w:w="108" w:type="dxa"/>
          </w:tblCellMar>
        </w:tblPrEx>
        <w:trPr>
          <w:trHeight w:val="44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课程</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名称</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9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高中</w:t>
            </w:r>
            <w:r>
              <w:rPr>
                <w:rFonts w:hint="eastAsia" w:ascii="仿宋" w:hAnsi="仿宋" w:eastAsia="仿宋" w:cs="仿宋"/>
                <w:color w:val="000000"/>
                <w:kern w:val="0"/>
                <w:sz w:val="24"/>
                <w:szCs w:val="24"/>
                <w:highlight w:val="none"/>
                <w:lang w:bidi="ar"/>
              </w:rPr>
              <w:t>数学</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本课程使学生能够根据法则、公式或按照一定的操作步骤，正确地进行观察分析、空间想象、图形绘制、运算求解、数据提取处理等，提升观察、空间想象、逻辑运算等数学思维能力，具备从数学角度发现和提出问题、运用数学知识和思想方法分析和解决问题，提高学生学习数学的兴趣，培养理性思维、敢于质疑、善于思考、严谨求实的科学精神和精益求精的工匠精神，加深对数学的科学价值、应用价值、文化价值和审美价值的认识</w:t>
            </w:r>
            <w:r>
              <w:rPr>
                <w:rFonts w:hint="eastAsia" w:ascii="仿宋" w:hAnsi="仿宋" w:eastAsia="仿宋" w:cs="仿宋"/>
                <w:color w:val="000000"/>
                <w:kern w:val="0"/>
                <w:sz w:val="24"/>
                <w:szCs w:val="24"/>
                <w:highlight w:val="none"/>
                <w:lang w:eastAsia="zh-CN" w:bidi="ar"/>
              </w:rPr>
              <w:t>。</w:t>
            </w:r>
          </w:p>
        </w:tc>
      </w:tr>
      <w:tr>
        <w:tblPrEx>
          <w:tblCellMar>
            <w:top w:w="0" w:type="dxa"/>
            <w:left w:w="108" w:type="dxa"/>
            <w:bottom w:w="0" w:type="dxa"/>
            <w:right w:w="108" w:type="dxa"/>
          </w:tblCellMar>
        </w:tblPrEx>
        <w:trPr>
          <w:trHeight w:val="81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高中</w:t>
            </w:r>
            <w:r>
              <w:rPr>
                <w:rFonts w:hint="eastAsia" w:ascii="仿宋" w:hAnsi="仿宋" w:eastAsia="仿宋" w:cs="仿宋"/>
                <w:color w:val="000000"/>
                <w:kern w:val="0"/>
                <w:sz w:val="24"/>
                <w:szCs w:val="24"/>
                <w:highlight w:val="none"/>
                <w:lang w:bidi="ar"/>
              </w:rPr>
              <w:t>语文</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本课程旨在引导学生根据语言运用情境，开展自主的言语实践活动，积累言语经验，把握祖国语言文字的特点和运用规律，提高语言文字的运用能力、思维能力和审美能力，理解和热爱祖国语言文字，培养健康的审美情趣，积累丰厚的文化底蕴，传承和弘扬中华优秀文化，汲取人类文明优秀成果，提升思维品质和文化素养，培育和践行社会主义核心价值观，增强文化自信。</w:t>
            </w:r>
          </w:p>
        </w:tc>
      </w:tr>
      <w:tr>
        <w:tblPrEx>
          <w:tblCellMar>
            <w:top w:w="0" w:type="dxa"/>
            <w:left w:w="108" w:type="dxa"/>
            <w:bottom w:w="0" w:type="dxa"/>
            <w:right w:w="108" w:type="dxa"/>
          </w:tblCellMar>
        </w:tblPrEx>
        <w:trPr>
          <w:trHeight w:val="2006"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高中</w:t>
            </w:r>
            <w:r>
              <w:rPr>
                <w:rFonts w:hint="eastAsia" w:ascii="仿宋" w:hAnsi="仿宋" w:eastAsia="仿宋" w:cs="仿宋"/>
                <w:color w:val="000000"/>
                <w:kern w:val="0"/>
                <w:sz w:val="24"/>
                <w:szCs w:val="24"/>
                <w:highlight w:val="none"/>
                <w:lang w:bidi="ar"/>
              </w:rPr>
              <w:t>英语</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本课程在义务教育基础上，帮助学生进一步学习英语基础知识，培养听、说、读、写等语言技能，引导学生围绕相关主题，在真实情境中开展开展语言实践活动，理解不同类型语篇所传递的意义和情感，充分激发和培养学生学习英语的兴趣:能理解英语在表达方式上体现出的中西思维差异，能客观对待不同观点，做出正确的价值判断</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了解世界文化多样性，了解中外文化差异，能进行基本的跨文化交流，能用英语讲授中国故事，促进中华优秀文化传播:能树立正确的英语学习观，多渠道获取英语学习资源，有效规划个人学习，监控评价反思调整自己的学习内容和进程，提高学习效率</w:t>
            </w:r>
            <w:r>
              <w:rPr>
                <w:rFonts w:hint="eastAsia" w:ascii="仿宋" w:hAnsi="仿宋" w:eastAsia="仿宋" w:cs="仿宋"/>
                <w:color w:val="000000"/>
                <w:kern w:val="0"/>
                <w:sz w:val="24"/>
                <w:szCs w:val="24"/>
                <w:highlight w:val="none"/>
                <w:lang w:eastAsia="zh-CN" w:bidi="ar"/>
              </w:rPr>
              <w:t>。</w:t>
            </w:r>
          </w:p>
        </w:tc>
      </w:tr>
      <w:tr>
        <w:tblPrEx>
          <w:tblCellMar>
            <w:top w:w="0" w:type="dxa"/>
            <w:left w:w="108" w:type="dxa"/>
            <w:bottom w:w="0" w:type="dxa"/>
            <w:right w:w="108" w:type="dxa"/>
          </w:tblCellMar>
        </w:tblPrEx>
        <w:trPr>
          <w:trHeight w:val="45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信息技术</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信息技术》通过理论知识学习、基础技能训练和综合应用实践，培养学生符合时代要求的信息素养和适应职业发展需要的信息能力，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w:t>
            </w:r>
          </w:p>
        </w:tc>
      </w:tr>
      <w:tr>
        <w:tblPrEx>
          <w:tblCellMar>
            <w:top w:w="0" w:type="dxa"/>
            <w:left w:w="108" w:type="dxa"/>
            <w:bottom w:w="0" w:type="dxa"/>
            <w:right w:w="108" w:type="dxa"/>
          </w:tblCellMar>
        </w:tblPrEx>
        <w:trPr>
          <w:trHeight w:val="753"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中国特色社会主义</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r>
      <w:tr>
        <w:tblPrEx>
          <w:tblCellMar>
            <w:top w:w="0" w:type="dxa"/>
            <w:left w:w="108" w:type="dxa"/>
            <w:bottom w:w="0" w:type="dxa"/>
            <w:right w:w="108" w:type="dxa"/>
          </w:tblCellMar>
        </w:tblPrEx>
        <w:trPr>
          <w:trHeight w:val="443"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心理健康与职业生涯</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基于社会发展对中职学生心理素质、职业生涯发展提出的新要求以及心理和谐、职业成才的培养目标，间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r>
      <w:tr>
        <w:tblPrEx>
          <w:tblCellMar>
            <w:top w:w="0" w:type="dxa"/>
            <w:left w:w="108" w:type="dxa"/>
            <w:bottom w:w="0" w:type="dxa"/>
            <w:right w:w="108" w:type="dxa"/>
          </w:tblCellMar>
        </w:tblPrEx>
        <w:trPr>
          <w:trHeight w:val="434"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哲学与人生</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《哲学与人生》阐明马克思主义哲学是科学的世界观和方法论，讲述辩证唯物主义和历史唯物主义基本观点及其对人生成长的意义</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阐述社会生活及个人成长中进行正确价值判断和行为选择的意义</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坚持实践第一的观点，正确认识社会问题，分析和处理个人成长中的人生问题，在生活中做出正确的价值判断和行为选择，引导学生自觉弘扬和践行社会主义核心价值观，为学生成长奠定正确的世界观，人生观和价值观基础。</w:t>
            </w:r>
          </w:p>
        </w:tc>
      </w:tr>
      <w:tr>
        <w:tblPrEx>
          <w:tblCellMar>
            <w:top w:w="0" w:type="dxa"/>
            <w:left w:w="108" w:type="dxa"/>
            <w:bottom w:w="0" w:type="dxa"/>
            <w:right w:w="108" w:type="dxa"/>
          </w:tblCellMar>
        </w:tblPrEx>
        <w:trPr>
          <w:trHeight w:val="1142"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职业道德与法治</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职业道德与法治》课程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使学生以道德和法律的要求规范自己的言行，做恪守道德规范、尊法学法守法用法的好公民</w:t>
            </w:r>
          </w:p>
        </w:tc>
      </w:tr>
      <w:tr>
        <w:tblPrEx>
          <w:tblCellMar>
            <w:top w:w="0" w:type="dxa"/>
            <w:left w:w="108" w:type="dxa"/>
            <w:bottom w:w="0" w:type="dxa"/>
            <w:right w:w="108" w:type="dxa"/>
          </w:tblCellMar>
        </w:tblPrEx>
        <w:trPr>
          <w:trHeight w:val="434"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体育与健康</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通过对本课程的学习，加深学生对体育文化与健康教育知识的理解，掌握有利于促进健康、调节心理、团队合作、学会生存、美化生活、职业生涯的运动技能</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不断提高耐力、力量、速度等体能素质和运动技术水平，学会制定个人锻炼计划和自我评价锻炼效果的方法</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增强对个人职业健康水平和安全行为的重视程度，具有维护公众健康的社会意识和责任感</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养成经常性自觉从事体育锻炼的运动习惯，逐步形成积极进取的人生态度和健康的生活方式，使学生具有健康的人格、强健的体魄，为学生身心健康和职业生涯发展奠定坚实的基础</w:t>
            </w:r>
            <w:r>
              <w:rPr>
                <w:rFonts w:hint="eastAsia" w:ascii="仿宋" w:hAnsi="仿宋" w:eastAsia="仿宋" w:cs="仿宋"/>
                <w:color w:val="000000"/>
                <w:kern w:val="0"/>
                <w:sz w:val="24"/>
                <w:szCs w:val="24"/>
                <w:highlight w:val="none"/>
                <w:lang w:eastAsia="zh-CN" w:bidi="ar"/>
              </w:rPr>
              <w:t>。</w:t>
            </w:r>
          </w:p>
        </w:tc>
      </w:tr>
      <w:tr>
        <w:tblPrEx>
          <w:tblCellMar>
            <w:top w:w="0" w:type="dxa"/>
            <w:left w:w="108" w:type="dxa"/>
            <w:bottom w:w="0" w:type="dxa"/>
            <w:right w:w="108" w:type="dxa"/>
          </w:tblCellMar>
        </w:tblPrEx>
        <w:trPr>
          <w:trHeight w:val="11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历史</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《历史》课程是中等职业学校学生必修的一门公共基础课程。本课程以唯物史观为指导，促进学生进一步了解人类社会形态从低级到高级发展的基本脉络、基本规律和优秀文化成果</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从历史的角度了解和思考人与人、人与社会、人与自然的关系，增强历史使命感和社会责任感</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进一步弘扬以爱国主义为核心的民族精神和以改革创新为核心的时代精神，培育和践行社会主义核心价值观，树立正确的历史观、民族观、国家观和文化观</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塑造健全的人格，养成职业精神，培养德智体美劳全面发展的社会主义建设者和接班人。</w:t>
            </w:r>
          </w:p>
        </w:tc>
      </w:tr>
      <w:tr>
        <w:tblPrEx>
          <w:tblCellMar>
            <w:top w:w="0" w:type="dxa"/>
            <w:left w:w="108" w:type="dxa"/>
            <w:bottom w:w="0" w:type="dxa"/>
            <w:right w:w="108" w:type="dxa"/>
          </w:tblCellMar>
        </w:tblPrEx>
        <w:trPr>
          <w:trHeight w:val="207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习近平新时代中国特色社会主义思想与工匠精</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神</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主要教学内容为习近平新时代中国特色社会主义思想、劳模事迹与时代精神、职业理想与“中国梦”等内容通过学习，让学生不断深化对习近平新时代中国特色社会主义思想的系统认识，逐步形成对拥护党的领导和社会主义制度、坚持和发展中国特色社会主义的认同、自信和自觉。</w:t>
            </w:r>
          </w:p>
        </w:tc>
      </w:tr>
      <w:tr>
        <w:tblPrEx>
          <w:tblCellMar>
            <w:top w:w="0" w:type="dxa"/>
            <w:left w:w="108" w:type="dxa"/>
            <w:bottom w:w="0" w:type="dxa"/>
            <w:right w:w="108" w:type="dxa"/>
          </w:tblCellMar>
        </w:tblPrEx>
        <w:trPr>
          <w:trHeight w:val="11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美术鉴赏与实践</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美术鉴赏与实践》课程是以培养学生的美术审美和实践能力，提升其美术品味为目的的美术活动。学生通过观察体验、赏析、评判等活动，学习美术知识和技能，欣赏美术作品，了解作品主题，感悟作品情感，理解作品内涵认识美术的基本功能与作用，提高审美情趣和美术实践能力，继承和弘扬中华优秀传统文化、革命文化、社会主义先进文化，坚定文化自信。</w:t>
            </w:r>
          </w:p>
        </w:tc>
      </w:tr>
      <w:tr>
        <w:tblPrEx>
          <w:tblCellMar>
            <w:top w:w="0" w:type="dxa"/>
            <w:left w:w="108" w:type="dxa"/>
            <w:bottom w:w="0" w:type="dxa"/>
            <w:right w:w="108" w:type="dxa"/>
          </w:tblCellMar>
        </w:tblPrEx>
        <w:trPr>
          <w:trHeight w:val="11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音乐</w:t>
            </w:r>
            <w:r>
              <w:rPr>
                <w:rFonts w:hint="eastAsia" w:ascii="仿宋" w:hAnsi="仿宋" w:eastAsia="仿宋" w:cs="仿宋"/>
                <w:color w:val="000000"/>
                <w:kern w:val="0"/>
                <w:sz w:val="24"/>
                <w:szCs w:val="24"/>
                <w:highlight w:val="none"/>
                <w:lang w:bidi="ar"/>
              </w:rPr>
              <w:t>鉴赏与实践</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音乐鉴赏与实践》是以培养学生音乐审美和实践能力，提升其音乐品味为目的的音乐活动。学生通过聆听中外景点音乐作品参与音乐实践活动，学习有关知识和技能，认识音乐的基本功能与作用，获得精神愉悦、提高审美情趣和音乐实践能力。</w:t>
            </w:r>
          </w:p>
        </w:tc>
      </w:tr>
      <w:tr>
        <w:tblPrEx>
          <w:tblCellMar>
            <w:top w:w="0" w:type="dxa"/>
            <w:left w:w="108" w:type="dxa"/>
            <w:bottom w:w="0" w:type="dxa"/>
            <w:right w:w="108" w:type="dxa"/>
          </w:tblCellMar>
        </w:tblPrEx>
        <w:trPr>
          <w:trHeight w:val="11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劳动技术</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《劳动技术》课程使学生能够理解和形成马克思主义劳动观，牢固树立劳动最光荣、劳动最崇高、劳动最伟大、劳动最美丽的观念</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体会劳动创造美好生活，体认劳动不分贵贱，热爱劳动，尊重普通劳动者，培养勤俭、奋斗、创新、奉献的劳动精神</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具备满足生存发展需要的基本劳动能力，形成良好劳动习惯，培育学生精益求精的工匠精神和爱岗敬业的劳动态度。</w:t>
            </w:r>
          </w:p>
        </w:tc>
      </w:tr>
      <w:tr>
        <w:tblPrEx>
          <w:tblCellMar>
            <w:top w:w="0" w:type="dxa"/>
            <w:left w:w="108" w:type="dxa"/>
            <w:bottom w:w="0" w:type="dxa"/>
            <w:right w:w="108" w:type="dxa"/>
          </w:tblCellMar>
        </w:tblPrEx>
        <w:trPr>
          <w:trHeight w:val="11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中华优秀传统文化</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中华优秀传统文化》以增强学生对中华优秀传统文化的理性认识为重点，认识中华文明形成的悠久历史进程，认识人民群众创造历史的决定作用和杰出人物的贡献，了解传统艺术的丰富表现形式和特点，感受不同时代、地域、民族特色的艺术风格等，引导学生感悟中华优秀传统文化的精神内涵，增强学生对中华优秀传统文化的自信心。</w:t>
            </w:r>
          </w:p>
        </w:tc>
      </w:tr>
      <w:tr>
        <w:tblPrEx>
          <w:tblCellMar>
            <w:top w:w="0" w:type="dxa"/>
            <w:left w:w="108" w:type="dxa"/>
            <w:bottom w:w="0" w:type="dxa"/>
            <w:right w:w="108" w:type="dxa"/>
          </w:tblCellMar>
        </w:tblPrEx>
        <w:trPr>
          <w:trHeight w:val="11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bookmarkStart w:id="31" w:name="_Toc28304"/>
            <w:bookmarkStart w:id="32" w:name="_Toc20494"/>
            <w:r>
              <w:rPr>
                <w:rFonts w:hint="eastAsia" w:ascii="仿宋" w:hAnsi="仿宋" w:eastAsia="仿宋" w:cs="仿宋"/>
                <w:color w:val="000000"/>
                <w:kern w:val="0"/>
                <w:sz w:val="24"/>
                <w:szCs w:val="24"/>
                <w:lang w:val="en-US" w:eastAsia="zh-CN" w:bidi="ar"/>
              </w:rPr>
              <w:t>16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音乐</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歌唱</w:t>
            </w:r>
            <w:r>
              <w:rPr>
                <w:rFonts w:hint="eastAsia" w:ascii="仿宋" w:hAnsi="仿宋" w:eastAsia="仿宋" w:cs="仿宋"/>
                <w:color w:val="000000"/>
                <w:kern w:val="0"/>
                <w:sz w:val="24"/>
                <w:szCs w:val="24"/>
                <w:highlight w:val="none"/>
                <w:lang w:eastAsia="zh-CN" w:bidi="ar"/>
              </w:rPr>
              <w:t>）</w:t>
            </w:r>
          </w:p>
        </w:tc>
        <w:tc>
          <w:tcPr>
            <w:tcW w:w="7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《音乐</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歌唱</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课程由声乐相关理论知识及独唱、重唱、合唱等组成，学生通过演唱和赏析优秀声乐作品，学习歌唱方法，丰富歌唱经验，增强审美与情感体验，认识声乐在个人与社会生活中的意义与作用，认识声乐艺术在精神文明建设中的作用</w:t>
            </w:r>
            <w:r>
              <w:rPr>
                <w:rFonts w:hint="eastAsia" w:ascii="仿宋" w:hAnsi="仿宋" w:eastAsia="仿宋" w:cs="仿宋"/>
                <w:color w:val="000000"/>
                <w:kern w:val="0"/>
                <w:sz w:val="24"/>
                <w:szCs w:val="24"/>
                <w:highlight w:val="none"/>
                <w:lang w:eastAsia="zh-CN" w:bidi="ar"/>
              </w:rPr>
              <w:t>。</w:t>
            </w:r>
          </w:p>
        </w:tc>
      </w:tr>
    </w:tbl>
    <w:p>
      <w:pPr>
        <w:numPr>
          <w:ilvl w:val="0"/>
          <w:numId w:val="1"/>
        </w:numPr>
        <w:spacing w:line="560" w:lineRule="exact"/>
        <w:ind w:firstLine="643" w:firstLineChars="200"/>
        <w:jc w:val="left"/>
        <w:outlineLvl w:val="1"/>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专业课程</w:t>
      </w:r>
      <w:bookmarkEnd w:id="31"/>
      <w:bookmarkEnd w:id="32"/>
    </w:p>
    <w:tbl>
      <w:tblPr>
        <w:tblStyle w:val="10"/>
        <w:tblW w:w="9206" w:type="dxa"/>
        <w:jc w:val="center"/>
        <w:tblLayout w:type="autofit"/>
        <w:tblCellMar>
          <w:top w:w="0" w:type="dxa"/>
          <w:left w:w="108" w:type="dxa"/>
          <w:bottom w:w="0" w:type="dxa"/>
          <w:right w:w="108" w:type="dxa"/>
        </w:tblCellMar>
      </w:tblPr>
      <w:tblGrid>
        <w:gridCol w:w="647"/>
        <w:gridCol w:w="1359"/>
        <w:gridCol w:w="7200"/>
      </w:tblGrid>
      <w:tr>
        <w:tblPrEx>
          <w:tblCellMar>
            <w:top w:w="0" w:type="dxa"/>
            <w:left w:w="108" w:type="dxa"/>
            <w:bottom w:w="0" w:type="dxa"/>
            <w:right w:w="108" w:type="dxa"/>
          </w:tblCellMar>
        </w:tblPrEx>
        <w:trPr>
          <w:trHeight w:val="601"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453"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计算机基础</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使学生掌握必备的计算机应用基本概念、熟练掌握Windows 操作系统，能够使用office 办公软件完成与实际工作和生活相关的基础知识和基本技能，考查学生利用计算机解决实际学习、生活中常见问题的能力，为学生的职业生涯发展和终身学习奠定基础。</w:t>
            </w:r>
          </w:p>
        </w:tc>
      </w:tr>
      <w:tr>
        <w:tblPrEx>
          <w:tblCellMar>
            <w:top w:w="0" w:type="dxa"/>
            <w:left w:w="108" w:type="dxa"/>
            <w:bottom w:w="0" w:type="dxa"/>
            <w:right w:w="108" w:type="dxa"/>
          </w:tblCellMar>
        </w:tblPrEx>
        <w:trPr>
          <w:trHeight w:val="1203"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计算机网络基础</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了解计算机网络的类型，组成、应用等基础知识，熟悉网络工作原理、网络协议和网络规划相关知识，掌握简单局域网搭建及应用，网络设备的基础配置、网络服务器安装与调试等基本技能</w:t>
            </w:r>
            <w:r>
              <w:rPr>
                <w:rFonts w:hint="eastAsia" w:ascii="仿宋" w:hAnsi="仿宋" w:eastAsia="仿宋" w:cs="仿宋"/>
                <w:color w:val="000000"/>
                <w:kern w:val="0"/>
                <w:sz w:val="24"/>
                <w:szCs w:val="24"/>
                <w:highlight w:val="none"/>
                <w:lang w:eastAsia="zh-CN" w:bidi="ar"/>
              </w:rPr>
              <w:t>。</w:t>
            </w:r>
          </w:p>
        </w:tc>
      </w:tr>
      <w:tr>
        <w:tblPrEx>
          <w:tblCellMar>
            <w:top w:w="0" w:type="dxa"/>
            <w:left w:w="108" w:type="dxa"/>
            <w:bottom w:w="0" w:type="dxa"/>
            <w:right w:w="108" w:type="dxa"/>
          </w:tblCellMar>
        </w:tblPrEx>
        <w:trPr>
          <w:trHeight w:val="673"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计算机组装与维修</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掌握计算机的软、硬件系统组成，能够独立完成计算机的拆装，掌握操作系统的安装方法和 BIOS 的设置方法能够进行计算机基本故障的诊断与排除</w:t>
            </w:r>
          </w:p>
        </w:tc>
      </w:tr>
      <w:tr>
        <w:tblPrEx>
          <w:tblCellMar>
            <w:top w:w="0" w:type="dxa"/>
            <w:left w:w="108" w:type="dxa"/>
            <w:bottom w:w="0" w:type="dxa"/>
            <w:right w:w="108" w:type="dxa"/>
          </w:tblCellMar>
        </w:tblPrEx>
        <w:trPr>
          <w:trHeight w:val="9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计算机应用与逻辑</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使学生掌握基本的逻辑推理能力、综合归纳能力和分析论证能力。分析推理试题的内容涉及自然和社会等领域对所给信息的理解、分析、判断、推理等基本逻辑思维能力。</w:t>
            </w:r>
          </w:p>
        </w:tc>
      </w:tr>
      <w:tr>
        <w:tblPrEx>
          <w:tblCellMar>
            <w:top w:w="0" w:type="dxa"/>
            <w:left w:w="108" w:type="dxa"/>
            <w:bottom w:w="0" w:type="dxa"/>
            <w:right w:w="108" w:type="dxa"/>
          </w:tblCellMar>
        </w:tblPrEx>
        <w:trPr>
          <w:trHeight w:val="938"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高中政治</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（时事政治与社会适应）</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使学生掌握政治、文化、哲学等学科所涉及的基本概念和基本观点，以及运用这些知识分析问题、解决问题的能力。年度间国内外重大时事 (上年度4月至考试当年3月)，中国共产党和中国政府在现阶段的基本路线和重大方针政策。能够具备参加职业教育学习所必须具备的理解能力、执行能力、创造性思维能力。其中，优化方案以社会生活情境中的现实问题，使学生把握信息、有效决策的能力。依据材料写作要求学生有正确的价值观，能清楚正确地表达观点。</w:t>
            </w:r>
          </w:p>
        </w:tc>
      </w:tr>
    </w:tbl>
    <w:p>
      <w:pPr>
        <w:spacing w:line="560" w:lineRule="exact"/>
        <w:ind w:firstLine="643" w:firstLineChars="200"/>
        <w:jc w:val="left"/>
        <w:outlineLvl w:val="1"/>
        <w:rPr>
          <w:rFonts w:hint="eastAsia" w:ascii="楷体" w:hAnsi="楷体" w:eastAsia="楷体" w:cs="楷体"/>
          <w:b/>
          <w:bCs/>
          <w:color w:val="000000" w:themeColor="text1"/>
          <w:sz w:val="32"/>
          <w:szCs w:val="32"/>
          <w:lang w:eastAsia="zh-CN"/>
          <w14:textFill>
            <w14:solidFill>
              <w14:schemeClr w14:val="tx1"/>
            </w14:solidFill>
          </w14:textFill>
        </w:rPr>
      </w:pPr>
      <w:bookmarkStart w:id="33" w:name="_Toc32707"/>
      <w:bookmarkStart w:id="34" w:name="_Toc18187"/>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三</w:t>
      </w:r>
      <w:r>
        <w:rPr>
          <w:rFonts w:hint="eastAsia" w:ascii="楷体" w:hAnsi="楷体" w:eastAsia="楷体" w:cs="楷体"/>
          <w:b/>
          <w:bCs/>
          <w:color w:val="000000" w:themeColor="text1"/>
          <w:sz w:val="32"/>
          <w:szCs w:val="32"/>
          <w14:textFill>
            <w14:solidFill>
              <w14:schemeClr w14:val="tx1"/>
            </w14:solidFill>
          </w14:textFill>
        </w:rPr>
        <w:t>）资格认证课程</w:t>
      </w:r>
      <w:bookmarkEnd w:id="33"/>
      <w:bookmarkEnd w:id="34"/>
    </w:p>
    <w:tbl>
      <w:tblPr>
        <w:tblStyle w:val="10"/>
        <w:tblW w:w="9071" w:type="dxa"/>
        <w:jc w:val="center"/>
        <w:tblLayout w:type="autofit"/>
        <w:tblCellMar>
          <w:top w:w="0" w:type="dxa"/>
          <w:left w:w="108" w:type="dxa"/>
          <w:bottom w:w="0" w:type="dxa"/>
          <w:right w:w="108" w:type="dxa"/>
        </w:tblCellMar>
      </w:tblPr>
      <w:tblGrid>
        <w:gridCol w:w="3391"/>
        <w:gridCol w:w="3396"/>
        <w:gridCol w:w="2284"/>
      </w:tblGrid>
      <w:tr>
        <w:tblPrEx>
          <w:tblCellMar>
            <w:top w:w="0" w:type="dxa"/>
            <w:left w:w="108" w:type="dxa"/>
            <w:bottom w:w="0" w:type="dxa"/>
            <w:right w:w="108" w:type="dxa"/>
          </w:tblCellMar>
        </w:tblPrEx>
        <w:trPr>
          <w:trHeight w:val="420" w:hRule="atLeast"/>
          <w:jc w:val="center"/>
        </w:trPr>
        <w:tc>
          <w:tcPr>
            <w:tcW w:w="3391"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证书名称</w:t>
            </w:r>
          </w:p>
        </w:tc>
        <w:tc>
          <w:tcPr>
            <w:tcW w:w="339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颁发机构</w:t>
            </w:r>
          </w:p>
        </w:tc>
        <w:tc>
          <w:tcPr>
            <w:tcW w:w="2284"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bidi="ar"/>
              </w:rPr>
              <w:t>课程</w:t>
            </w:r>
            <w:r>
              <w:rPr>
                <w:rFonts w:hint="eastAsia" w:ascii="仿宋" w:hAnsi="仿宋" w:eastAsia="仿宋" w:cs="仿宋"/>
                <w:b/>
                <w:bCs/>
                <w:color w:val="000000"/>
                <w:kern w:val="0"/>
                <w:sz w:val="24"/>
                <w:szCs w:val="24"/>
                <w:lang w:val="en-US" w:eastAsia="zh-CN" w:bidi="ar"/>
              </w:rPr>
              <w:t>名称</w:t>
            </w:r>
          </w:p>
        </w:tc>
      </w:tr>
      <w:tr>
        <w:tblPrEx>
          <w:tblCellMar>
            <w:top w:w="0" w:type="dxa"/>
            <w:left w:w="108" w:type="dxa"/>
            <w:bottom w:w="0" w:type="dxa"/>
            <w:right w:w="108" w:type="dxa"/>
          </w:tblCellMar>
        </w:tblPrEx>
        <w:trPr>
          <w:trHeight w:val="420" w:hRule="atLeast"/>
          <w:jc w:val="center"/>
        </w:trPr>
        <w:tc>
          <w:tcPr>
            <w:tcW w:w="3391"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kern w:val="0"/>
                <w:sz w:val="24"/>
                <w:szCs w:val="24"/>
                <w:lang w:bidi="ar"/>
              </w:rPr>
              <w:t>全国计算机等级考试（一级）</w:t>
            </w:r>
          </w:p>
        </w:tc>
        <w:tc>
          <w:tcPr>
            <w:tcW w:w="339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教育部考试中心</w:t>
            </w:r>
          </w:p>
        </w:tc>
        <w:tc>
          <w:tcPr>
            <w:tcW w:w="2284"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sz w:val="24"/>
                <w:szCs w:val="24"/>
              </w:rPr>
              <w:t>信息技术</w:t>
            </w:r>
          </w:p>
        </w:tc>
      </w:tr>
      <w:tr>
        <w:tblPrEx>
          <w:tblCellMar>
            <w:top w:w="0" w:type="dxa"/>
            <w:left w:w="108" w:type="dxa"/>
            <w:bottom w:w="0" w:type="dxa"/>
            <w:right w:w="108" w:type="dxa"/>
          </w:tblCellMar>
        </w:tblPrEx>
        <w:trPr>
          <w:trHeight w:val="420" w:hRule="atLeast"/>
          <w:jc w:val="center"/>
        </w:trPr>
        <w:tc>
          <w:tcPr>
            <w:tcW w:w="339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普通话</w:t>
            </w:r>
          </w:p>
        </w:tc>
        <w:tc>
          <w:tcPr>
            <w:tcW w:w="33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aps w:val="0"/>
                <w:color w:val="333333"/>
                <w:spacing w:val="0"/>
                <w:sz w:val="24"/>
                <w:szCs w:val="24"/>
                <w:shd w:val="clear" w:fill="FFFFFF"/>
              </w:rPr>
              <w:t>国家语言文字工作委员会</w:t>
            </w:r>
          </w:p>
        </w:tc>
        <w:tc>
          <w:tcPr>
            <w:tcW w:w="22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语文</w:t>
            </w:r>
          </w:p>
        </w:tc>
      </w:tr>
    </w:tbl>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35" w:name="_Toc5200"/>
      <w:bookmarkStart w:id="36" w:name="_Toc26600"/>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四</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相关要求</w:t>
      </w:r>
      <w:bookmarkEnd w:id="35"/>
      <w:bookmarkEnd w:id="36"/>
    </w:p>
    <w:p>
      <w:pPr>
        <w:numPr>
          <w:ilvl w:val="0"/>
          <w:numId w:val="0"/>
        </w:numPr>
        <w:spacing w:line="560" w:lineRule="exact"/>
        <w:ind w:firstLine="640" w:firstLineChars="20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本专业落实课程思政，推进全员、全过程、全方位育人，实现思想政治教育与技术技能培养的有机统一。开设人际关系与沟通技巧、创新创业教育、就业指导等方面的专题讲座，将志愿服务活动和</w:t>
      </w:r>
      <w:r>
        <w:rPr>
          <w:rFonts w:hint="eastAsia" w:ascii="仿宋" w:hAnsi="仿宋" w:eastAsia="仿宋" w:cs="仿宋"/>
          <w:b w:val="0"/>
          <w:bCs w:val="0"/>
          <w:color w:val="000000" w:themeColor="text1"/>
          <w:sz w:val="32"/>
          <w:szCs w:val="32"/>
          <w:lang w:val="en-US" w:eastAsia="zh-CN"/>
          <w14:textFill>
            <w14:solidFill>
              <w14:schemeClr w14:val="tx1"/>
            </w14:solidFill>
          </w14:textFill>
        </w:rPr>
        <w:t>劳动</w:t>
      </w:r>
      <w:r>
        <w:rPr>
          <w:rFonts w:hint="eastAsia" w:ascii="仿宋" w:hAnsi="仿宋" w:eastAsia="仿宋" w:cs="仿宋"/>
          <w:b w:val="0"/>
          <w:bCs w:val="0"/>
          <w:color w:val="000000" w:themeColor="text1"/>
          <w:sz w:val="32"/>
          <w:szCs w:val="32"/>
          <w14:textFill>
            <w14:solidFill>
              <w14:schemeClr w14:val="tx1"/>
            </w14:solidFill>
          </w14:textFill>
        </w:rPr>
        <w:t>实践活动融入有关实践性教学环节中。</w:t>
      </w:r>
    </w:p>
    <w:p>
      <w:pPr>
        <w:numPr>
          <w:ilvl w:val="0"/>
          <w:numId w:val="0"/>
        </w:num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37" w:name="_Toc5183"/>
      <w:bookmarkStart w:id="38" w:name="_Toc31348"/>
      <w:r>
        <w:rPr>
          <w:rFonts w:hint="eastAsia" w:ascii="黑体" w:hAnsi="黑体" w:eastAsia="黑体" w:cs="黑体"/>
          <w:color w:val="000000" w:themeColor="text1"/>
          <w:sz w:val="32"/>
          <w:szCs w:val="32"/>
          <w:lang w:val="en-US"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教学进程总体安排</w:t>
      </w:r>
      <w:bookmarkEnd w:id="37"/>
      <w:bookmarkEnd w:id="38"/>
    </w:p>
    <w:tbl>
      <w:tblPr>
        <w:tblStyle w:val="10"/>
        <w:tblW w:w="9135" w:type="dxa"/>
        <w:jc w:val="center"/>
        <w:tblLayout w:type="fixed"/>
        <w:tblCellMar>
          <w:top w:w="0" w:type="dxa"/>
          <w:left w:w="108" w:type="dxa"/>
          <w:bottom w:w="0" w:type="dxa"/>
          <w:right w:w="108" w:type="dxa"/>
        </w:tblCellMar>
      </w:tblPr>
      <w:tblGrid>
        <w:gridCol w:w="449"/>
        <w:gridCol w:w="562"/>
        <w:gridCol w:w="1616"/>
        <w:gridCol w:w="655"/>
        <w:gridCol w:w="655"/>
        <w:gridCol w:w="677"/>
        <w:gridCol w:w="550"/>
        <w:gridCol w:w="578"/>
        <w:gridCol w:w="550"/>
        <w:gridCol w:w="551"/>
        <w:gridCol w:w="550"/>
        <w:gridCol w:w="551"/>
        <w:gridCol w:w="550"/>
        <w:gridCol w:w="641"/>
      </w:tblGrid>
      <w:tr>
        <w:tblPrEx>
          <w:tblCellMar>
            <w:top w:w="0" w:type="dxa"/>
            <w:left w:w="108" w:type="dxa"/>
            <w:bottom w:w="0" w:type="dxa"/>
            <w:right w:w="108" w:type="dxa"/>
          </w:tblCellMar>
        </w:tblPrEx>
        <w:trPr>
          <w:trHeight w:val="322" w:hRule="atLeast"/>
          <w:jc w:val="center"/>
        </w:trPr>
        <w:tc>
          <w:tcPr>
            <w:tcW w:w="44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bookmarkStart w:id="39" w:name="_Toc23920"/>
            <w:bookmarkStart w:id="40" w:name="_Toc1396"/>
            <w:r>
              <w:rPr>
                <w:rFonts w:hint="eastAsia" w:ascii="仿宋" w:hAnsi="仿宋" w:eastAsia="仿宋" w:cs="仿宋"/>
                <w:b/>
                <w:bCs/>
                <w:sz w:val="21"/>
                <w:szCs w:val="21"/>
                <w:highlight w:val="none"/>
              </w:rPr>
              <w:t>分类</w:t>
            </w:r>
          </w:p>
        </w:tc>
        <w:tc>
          <w:tcPr>
            <w:tcW w:w="562" w:type="dxa"/>
            <w:vMerge w:val="restar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1616" w:type="dxa"/>
            <w:vMerge w:val="restar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课程</w:t>
            </w:r>
          </w:p>
        </w:tc>
        <w:tc>
          <w:tcPr>
            <w:tcW w:w="1987" w:type="dxa"/>
            <w:gridSpan w:val="3"/>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学时</w:t>
            </w:r>
          </w:p>
        </w:tc>
        <w:tc>
          <w:tcPr>
            <w:tcW w:w="550" w:type="dxa"/>
            <w:vMerge w:val="restar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考试</w:t>
            </w:r>
          </w:p>
        </w:tc>
        <w:tc>
          <w:tcPr>
            <w:tcW w:w="578" w:type="dxa"/>
            <w:vMerge w:val="restar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考查</w:t>
            </w:r>
          </w:p>
        </w:tc>
        <w:tc>
          <w:tcPr>
            <w:tcW w:w="3393" w:type="dxa"/>
            <w:gridSpan w:val="6"/>
            <w:tcBorders>
              <w:top w:val="single" w:color="auto" w:sz="4" w:space="0"/>
              <w:left w:val="nil"/>
              <w:bottom w:val="nil"/>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学时分配</w:t>
            </w:r>
          </w:p>
        </w:tc>
      </w:tr>
      <w:tr>
        <w:tblPrEx>
          <w:tblCellMar>
            <w:top w:w="0" w:type="dxa"/>
            <w:left w:w="108" w:type="dxa"/>
            <w:bottom w:w="0" w:type="dxa"/>
            <w:right w:w="108" w:type="dxa"/>
          </w:tblCellMar>
        </w:tblPrEx>
        <w:trPr>
          <w:trHeight w:val="319" w:hRule="atLeast"/>
          <w:jc w:val="center"/>
        </w:trPr>
        <w:tc>
          <w:tcPr>
            <w:tcW w:w="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62"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1616"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655" w:type="dxa"/>
            <w:vMerge w:val="restart"/>
            <w:tcBorders>
              <w:top w:val="nil"/>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合计</w:t>
            </w:r>
          </w:p>
        </w:tc>
        <w:tc>
          <w:tcPr>
            <w:tcW w:w="655" w:type="dxa"/>
            <w:vMerge w:val="restart"/>
            <w:tcBorders>
              <w:top w:val="nil"/>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理论教学</w:t>
            </w:r>
          </w:p>
        </w:tc>
        <w:tc>
          <w:tcPr>
            <w:tcW w:w="677" w:type="dxa"/>
            <w:vMerge w:val="restart"/>
            <w:tcBorders>
              <w:top w:val="nil"/>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实验实训</w:t>
            </w:r>
          </w:p>
        </w:tc>
        <w:tc>
          <w:tcPr>
            <w:tcW w:w="550"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78"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1101"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第一学年</w:t>
            </w:r>
          </w:p>
        </w:tc>
        <w:tc>
          <w:tcPr>
            <w:tcW w:w="1101"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第二学年</w:t>
            </w:r>
          </w:p>
        </w:tc>
        <w:tc>
          <w:tcPr>
            <w:tcW w:w="1191"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第三学年</w:t>
            </w:r>
          </w:p>
        </w:tc>
      </w:tr>
      <w:tr>
        <w:tblPrEx>
          <w:tblCellMar>
            <w:top w:w="0" w:type="dxa"/>
            <w:left w:w="108" w:type="dxa"/>
            <w:bottom w:w="0" w:type="dxa"/>
            <w:right w:w="108" w:type="dxa"/>
          </w:tblCellMar>
        </w:tblPrEx>
        <w:trPr>
          <w:trHeight w:val="319" w:hRule="atLeast"/>
          <w:jc w:val="center"/>
        </w:trPr>
        <w:tc>
          <w:tcPr>
            <w:tcW w:w="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62"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1616"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655"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655"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677"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50"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78"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w:t>
            </w:r>
          </w:p>
        </w:tc>
        <w:tc>
          <w:tcPr>
            <w:tcW w:w="55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w:t>
            </w:r>
          </w:p>
        </w:tc>
        <w:tc>
          <w:tcPr>
            <w:tcW w:w="551"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4</w:t>
            </w: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5</w:t>
            </w:r>
          </w:p>
        </w:tc>
        <w:tc>
          <w:tcPr>
            <w:tcW w:w="64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6</w:t>
            </w:r>
          </w:p>
        </w:tc>
      </w:tr>
      <w:tr>
        <w:tblPrEx>
          <w:tblCellMar>
            <w:top w:w="0" w:type="dxa"/>
            <w:left w:w="108" w:type="dxa"/>
            <w:bottom w:w="0" w:type="dxa"/>
            <w:right w:w="108" w:type="dxa"/>
          </w:tblCellMar>
        </w:tblPrEx>
        <w:trPr>
          <w:trHeight w:val="628" w:hRule="atLeast"/>
          <w:jc w:val="center"/>
        </w:trPr>
        <w:tc>
          <w:tcPr>
            <w:tcW w:w="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62"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1616"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655"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655"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677"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50"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78"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18/18</w:t>
            </w:r>
          </w:p>
        </w:tc>
        <w:tc>
          <w:tcPr>
            <w:tcW w:w="55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18/18</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18/18</w:t>
            </w:r>
          </w:p>
        </w:tc>
        <w:tc>
          <w:tcPr>
            <w:tcW w:w="551"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18/18</w:t>
            </w: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18/18</w:t>
            </w:r>
          </w:p>
        </w:tc>
        <w:tc>
          <w:tcPr>
            <w:tcW w:w="64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6/</w:t>
            </w:r>
          </w:p>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6</w:t>
            </w:r>
          </w:p>
        </w:tc>
      </w:tr>
      <w:tr>
        <w:tblPrEx>
          <w:tblCellMar>
            <w:top w:w="0" w:type="dxa"/>
            <w:left w:w="108" w:type="dxa"/>
            <w:bottom w:w="0" w:type="dxa"/>
            <w:right w:w="108" w:type="dxa"/>
          </w:tblCellMar>
        </w:tblPrEx>
        <w:trPr>
          <w:trHeight w:val="628" w:hRule="atLeast"/>
          <w:jc w:val="center"/>
        </w:trPr>
        <w:tc>
          <w:tcPr>
            <w:tcW w:w="449" w:type="dxa"/>
            <w:vMerge w:val="restart"/>
            <w:tcBorders>
              <w:top w:val="nil"/>
              <w:left w:val="single" w:color="000000" w:sz="8" w:space="0"/>
              <w:bottom w:val="nil"/>
              <w:right w:val="single" w:color="000000" w:sz="8" w:space="0"/>
            </w:tcBorders>
            <w:shd w:val="clear" w:color="auto" w:fill="FFFFFF"/>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公共基础课程</w:t>
            </w:r>
          </w:p>
        </w:tc>
        <w:tc>
          <w:tcPr>
            <w:tcW w:w="562"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616" w:type="dxa"/>
            <w:tcBorders>
              <w:top w:val="single" w:color="auto" w:sz="4" w:space="0"/>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中国特色社会主义</w:t>
            </w:r>
          </w:p>
        </w:tc>
        <w:tc>
          <w:tcPr>
            <w:tcW w:w="65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5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36</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5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57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1"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628"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心理健康与职业生涯</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36</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2</w:t>
            </w: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哲学与人生</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36</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3</w:t>
            </w: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628"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职业道德与法治</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36</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4</w:t>
            </w: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1554"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习近平新时代中国特色社会主义思想与工匠精神/形式与政策</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36</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4</w:t>
            </w: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1616"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高中语文</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624</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624</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1-6</w:t>
            </w: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1616"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高中数学</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588</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588</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1-6</w:t>
            </w: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1616"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高中英语</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552</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552</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1-6</w:t>
            </w: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r>
      <w:tr>
        <w:tblPrEx>
          <w:tblCellMar>
            <w:top w:w="0" w:type="dxa"/>
            <w:left w:w="108" w:type="dxa"/>
            <w:bottom w:w="0" w:type="dxa"/>
            <w:right w:w="108" w:type="dxa"/>
          </w:tblCellMar>
        </w:tblPrEx>
        <w:trPr>
          <w:trHeight w:val="628"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w:t>
            </w:r>
          </w:p>
        </w:tc>
        <w:tc>
          <w:tcPr>
            <w:tcW w:w="1616"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信息技术</w:t>
            </w:r>
          </w:p>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(以证代考)</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108</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54</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54</w:t>
            </w: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w:t>
            </w: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2</w:t>
            </w: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体育与健康</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144</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144</w:t>
            </w: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1-4</w:t>
            </w: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历史</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72</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r>
              <w:rPr>
                <w:rFonts w:hint="eastAsia" w:ascii="仿宋" w:hAnsi="仿宋" w:eastAsia="仿宋" w:cs="仿宋"/>
                <w:sz w:val="20"/>
                <w:szCs w:val="20"/>
                <w:highlight w:val="none"/>
              </w:rPr>
              <w:t>72</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w:t>
            </w: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937"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音乐鉴赏与实践/美术鉴赏与实践</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18</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18</w:t>
            </w: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2</w:t>
            </w: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13</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劳动技术/歌唱</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18</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18</w:t>
            </w: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w:t>
            </w: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628"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中华优秀传统文化</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36</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2</w:t>
            </w: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319" w:hRule="atLeast"/>
          <w:jc w:val="center"/>
        </w:trPr>
        <w:tc>
          <w:tcPr>
            <w:tcW w:w="449"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2178" w:type="dxa"/>
            <w:gridSpan w:val="2"/>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小计</w:t>
            </w:r>
          </w:p>
        </w:tc>
        <w:tc>
          <w:tcPr>
            <w:tcW w:w="65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sz w:val="20"/>
                <w:szCs w:val="20"/>
                <w:highlight w:val="none"/>
              </w:rPr>
            </w:pPr>
            <w:r>
              <w:rPr>
                <w:rFonts w:hint="eastAsia" w:ascii="仿宋" w:hAnsi="仿宋" w:eastAsia="仿宋" w:cs="仿宋"/>
                <w:kern w:val="0"/>
                <w:sz w:val="20"/>
                <w:szCs w:val="20"/>
                <w:highlight w:val="none"/>
              </w:rPr>
              <w:t>2376</w:t>
            </w:r>
          </w:p>
        </w:tc>
        <w:tc>
          <w:tcPr>
            <w:tcW w:w="65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sz w:val="20"/>
                <w:szCs w:val="20"/>
                <w:highlight w:val="none"/>
              </w:rPr>
            </w:pPr>
            <w:r>
              <w:rPr>
                <w:rFonts w:hint="eastAsia" w:ascii="仿宋" w:hAnsi="仿宋" w:eastAsia="仿宋" w:cs="仿宋"/>
                <w:kern w:val="0"/>
                <w:sz w:val="20"/>
                <w:szCs w:val="20"/>
                <w:highlight w:val="none"/>
              </w:rPr>
              <w:t>2142</w:t>
            </w:r>
          </w:p>
        </w:tc>
        <w:tc>
          <w:tcPr>
            <w:tcW w:w="677" w:type="dxa"/>
            <w:tcBorders>
              <w:top w:val="nil"/>
              <w:left w:val="nil"/>
              <w:bottom w:val="single" w:color="auto" w:sz="4" w:space="0"/>
              <w:right w:val="single" w:color="auto" w:sz="4" w:space="0"/>
            </w:tcBorders>
          </w:tcPr>
          <w:p>
            <w:pPr>
              <w:widowControl/>
              <w:jc w:val="center"/>
              <w:rPr>
                <w:rFonts w:hint="eastAsia" w:ascii="仿宋" w:hAnsi="仿宋" w:eastAsia="仿宋" w:cs="仿宋"/>
                <w:b/>
                <w:bCs/>
                <w:kern w:val="0"/>
                <w:sz w:val="18"/>
                <w:szCs w:val="18"/>
                <w:highlight w:val="none"/>
              </w:rPr>
            </w:pPr>
            <w:r>
              <w:rPr>
                <w:rFonts w:hint="eastAsia" w:ascii="仿宋" w:hAnsi="仿宋" w:eastAsia="仿宋" w:cs="仿宋"/>
                <w:b/>
                <w:bCs/>
                <w:kern w:val="0"/>
                <w:sz w:val="18"/>
                <w:szCs w:val="18"/>
                <w:highlight w:val="none"/>
              </w:rPr>
              <w:t>234</w:t>
            </w: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w:t>
            </w: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w:t>
            </w: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22</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24</w:t>
            </w: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24</w:t>
            </w:r>
          </w:p>
        </w:tc>
      </w:tr>
      <w:tr>
        <w:tblPrEx>
          <w:tblCellMar>
            <w:top w:w="0" w:type="dxa"/>
            <w:left w:w="108" w:type="dxa"/>
            <w:bottom w:w="0" w:type="dxa"/>
            <w:right w:w="108" w:type="dxa"/>
          </w:tblCellMar>
        </w:tblPrEx>
        <w:trPr>
          <w:trHeight w:val="628" w:hRule="atLeast"/>
          <w:jc w:val="center"/>
        </w:trPr>
        <w:tc>
          <w:tcPr>
            <w:tcW w:w="449" w:type="dxa"/>
            <w:vMerge w:val="restart"/>
            <w:tcBorders>
              <w:top w:val="nil"/>
              <w:left w:val="single" w:color="auto" w:sz="4" w:space="0"/>
              <w:bottom w:val="nil"/>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专业基础课程</w:t>
            </w: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616"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计算机网络基础</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16</w:t>
            </w: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w:t>
            </w: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937" w:hRule="atLeast"/>
          <w:jc w:val="center"/>
        </w:trPr>
        <w:tc>
          <w:tcPr>
            <w:tcW w:w="449" w:type="dxa"/>
            <w:vMerge w:val="continue"/>
            <w:tcBorders>
              <w:top w:val="nil"/>
              <w:left w:val="single" w:color="auto" w:sz="4" w:space="0"/>
              <w:bottom w:val="nil"/>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616"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计算机组装与维修(以证代考)</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w:t>
            </w:r>
          </w:p>
        </w:tc>
        <w:tc>
          <w:tcPr>
            <w:tcW w:w="6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16</w:t>
            </w: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2</w:t>
            </w: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485" w:hRule="atLeast"/>
          <w:jc w:val="center"/>
        </w:trPr>
        <w:tc>
          <w:tcPr>
            <w:tcW w:w="449" w:type="dxa"/>
            <w:vMerge w:val="continue"/>
            <w:tcBorders>
              <w:top w:val="nil"/>
              <w:left w:val="single" w:color="auto" w:sz="4" w:space="0"/>
              <w:bottom w:val="nil"/>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计算机基础</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2"/>
                <w:highlight w:val="none"/>
              </w:rPr>
            </w:pPr>
            <w:r>
              <w:rPr>
                <w:rFonts w:hint="eastAsia" w:ascii="仿宋" w:hAnsi="仿宋" w:eastAsia="仿宋" w:cs="仿宋"/>
                <w:sz w:val="22"/>
                <w:highlight w:val="none"/>
              </w:rPr>
              <w:t>168</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2"/>
                <w:highlight w:val="none"/>
              </w:rPr>
            </w:pPr>
            <w:r>
              <w:rPr>
                <w:rFonts w:hint="eastAsia" w:ascii="仿宋" w:hAnsi="仿宋" w:eastAsia="仿宋" w:cs="仿宋"/>
                <w:sz w:val="22"/>
                <w:highlight w:val="none"/>
              </w:rPr>
              <w:t>168</w:t>
            </w:r>
          </w:p>
        </w:tc>
        <w:tc>
          <w:tcPr>
            <w:tcW w:w="677" w:type="dxa"/>
            <w:tcBorders>
              <w:top w:val="nil"/>
              <w:left w:val="nil"/>
              <w:bottom w:val="single" w:color="auto" w:sz="4" w:space="0"/>
              <w:right w:val="single" w:color="auto" w:sz="4" w:space="0"/>
            </w:tcBorders>
            <w:vAlign w:val="center"/>
          </w:tcPr>
          <w:p>
            <w:pPr>
              <w:widowControl/>
              <w:rPr>
                <w:rFonts w:hint="eastAsia" w:ascii="仿宋" w:hAnsi="仿宋" w:eastAsia="仿宋" w:cs="仿宋"/>
                <w:sz w:val="22"/>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4-6</w:t>
            </w:r>
          </w:p>
        </w:tc>
        <w:tc>
          <w:tcPr>
            <w:tcW w:w="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2"/>
                <w:highlight w:val="none"/>
              </w:rPr>
            </w:pP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2"/>
                <w:highlight w:val="none"/>
              </w:rPr>
            </w:pP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2"/>
                <w:highlight w:val="none"/>
              </w:rPr>
            </w:pP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2"/>
                <w:highlight w:val="none"/>
              </w:rPr>
            </w:pPr>
            <w:r>
              <w:rPr>
                <w:rFonts w:hint="eastAsia" w:ascii="仿宋" w:hAnsi="仿宋" w:eastAsia="仿宋" w:cs="仿宋"/>
                <w:sz w:val="22"/>
                <w:highlight w:val="none"/>
              </w:rPr>
              <w:t>4</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2"/>
                <w:highlight w:val="none"/>
              </w:rPr>
            </w:pPr>
            <w:r>
              <w:rPr>
                <w:rFonts w:hint="eastAsia" w:ascii="仿宋" w:hAnsi="仿宋" w:eastAsia="仿宋" w:cs="仿宋"/>
                <w:sz w:val="22"/>
                <w:highlight w:val="none"/>
              </w:rPr>
              <w:t>4</w:t>
            </w:r>
          </w:p>
        </w:tc>
        <w:tc>
          <w:tcPr>
            <w:tcW w:w="641" w:type="dxa"/>
            <w:tcBorders>
              <w:top w:val="nil"/>
              <w:left w:val="nil"/>
              <w:bottom w:val="nil"/>
              <w:right w:val="single" w:color="auto" w:sz="4" w:space="0"/>
            </w:tcBorders>
            <w:vAlign w:val="center"/>
          </w:tcPr>
          <w:p>
            <w:pPr>
              <w:jc w:val="center"/>
              <w:rPr>
                <w:rFonts w:hint="eastAsia" w:ascii="仿宋" w:hAnsi="仿宋" w:eastAsia="仿宋" w:cs="仿宋"/>
                <w:sz w:val="22"/>
                <w:highlight w:val="none"/>
              </w:rPr>
            </w:pPr>
            <w:r>
              <w:rPr>
                <w:rFonts w:hint="eastAsia" w:ascii="仿宋" w:hAnsi="仿宋" w:eastAsia="仿宋" w:cs="仿宋"/>
                <w:sz w:val="22"/>
                <w:highlight w:val="none"/>
              </w:rPr>
              <w:t>4</w:t>
            </w:r>
          </w:p>
        </w:tc>
      </w:tr>
      <w:tr>
        <w:tblPrEx>
          <w:tblCellMar>
            <w:top w:w="0" w:type="dxa"/>
            <w:left w:w="108" w:type="dxa"/>
            <w:bottom w:w="0" w:type="dxa"/>
            <w:right w:w="108" w:type="dxa"/>
          </w:tblCellMar>
        </w:tblPrEx>
        <w:trPr>
          <w:trHeight w:val="628" w:hRule="atLeast"/>
          <w:jc w:val="center"/>
        </w:trPr>
        <w:tc>
          <w:tcPr>
            <w:tcW w:w="449" w:type="dxa"/>
            <w:vMerge w:val="continue"/>
            <w:tcBorders>
              <w:top w:val="nil"/>
              <w:left w:val="single" w:color="auto" w:sz="4" w:space="0"/>
              <w:bottom w:val="nil"/>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计算机应用与逻辑</w:t>
            </w:r>
          </w:p>
        </w:tc>
        <w:tc>
          <w:tcPr>
            <w:tcW w:w="655" w:type="dxa"/>
            <w:tcBorders>
              <w:top w:val="nil"/>
              <w:left w:val="nil"/>
              <w:bottom w:val="nil"/>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168</w:t>
            </w:r>
          </w:p>
        </w:tc>
        <w:tc>
          <w:tcPr>
            <w:tcW w:w="655" w:type="dxa"/>
            <w:tcBorders>
              <w:top w:val="nil"/>
              <w:left w:val="nil"/>
              <w:bottom w:val="nil"/>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168</w:t>
            </w:r>
          </w:p>
        </w:tc>
        <w:tc>
          <w:tcPr>
            <w:tcW w:w="677" w:type="dxa"/>
            <w:tcBorders>
              <w:top w:val="nil"/>
              <w:left w:val="nil"/>
              <w:bottom w:val="nil"/>
              <w:right w:val="single" w:color="auto" w:sz="4" w:space="0"/>
            </w:tcBorders>
            <w:vAlign w:val="center"/>
          </w:tcPr>
          <w:p>
            <w:pPr>
              <w:widowControl/>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3-6</w:t>
            </w:r>
          </w:p>
        </w:tc>
        <w:tc>
          <w:tcPr>
            <w:tcW w:w="578" w:type="dxa"/>
            <w:tcBorders>
              <w:top w:val="nil"/>
              <w:left w:val="nil"/>
              <w:bottom w:val="nil"/>
              <w:right w:val="single" w:color="auto" w:sz="4" w:space="0"/>
            </w:tcBorders>
            <w:vAlign w:val="center"/>
          </w:tcPr>
          <w:p>
            <w:pPr>
              <w:widowControl/>
              <w:jc w:val="center"/>
              <w:rPr>
                <w:rFonts w:hint="eastAsia" w:ascii="仿宋" w:hAnsi="仿宋" w:eastAsia="仿宋" w:cs="仿宋"/>
                <w:kern w:val="0"/>
                <w:sz w:val="21"/>
                <w:szCs w:val="21"/>
                <w:highlight w:val="none"/>
              </w:rPr>
            </w:pPr>
          </w:p>
        </w:tc>
        <w:tc>
          <w:tcPr>
            <w:tcW w:w="550" w:type="dxa"/>
            <w:tcBorders>
              <w:top w:val="nil"/>
              <w:left w:val="nil"/>
              <w:bottom w:val="nil"/>
              <w:right w:val="single" w:color="auto" w:sz="4" w:space="0"/>
            </w:tcBorders>
            <w:vAlign w:val="center"/>
          </w:tcPr>
          <w:p>
            <w:pPr>
              <w:jc w:val="center"/>
              <w:rPr>
                <w:rFonts w:hint="eastAsia" w:ascii="仿宋" w:hAnsi="仿宋" w:eastAsia="仿宋" w:cs="仿宋"/>
                <w:sz w:val="21"/>
                <w:szCs w:val="21"/>
                <w:highlight w:val="none"/>
              </w:rPr>
            </w:pPr>
          </w:p>
        </w:tc>
        <w:tc>
          <w:tcPr>
            <w:tcW w:w="551" w:type="dxa"/>
            <w:tcBorders>
              <w:top w:val="nil"/>
              <w:left w:val="nil"/>
              <w:bottom w:val="nil"/>
              <w:right w:val="single" w:color="auto" w:sz="4" w:space="0"/>
            </w:tcBorders>
            <w:vAlign w:val="center"/>
          </w:tcPr>
          <w:p>
            <w:pPr>
              <w:jc w:val="center"/>
              <w:rPr>
                <w:rFonts w:hint="eastAsia" w:ascii="仿宋" w:hAnsi="仿宋" w:eastAsia="仿宋" w:cs="仿宋"/>
                <w:sz w:val="21"/>
                <w:szCs w:val="21"/>
                <w:highlight w:val="none"/>
              </w:rPr>
            </w:pPr>
          </w:p>
        </w:tc>
        <w:tc>
          <w:tcPr>
            <w:tcW w:w="550" w:type="dxa"/>
            <w:tcBorders>
              <w:top w:val="nil"/>
              <w:left w:val="nil"/>
              <w:bottom w:val="nil"/>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641" w:type="dxa"/>
            <w:tcBorders>
              <w:top w:val="single" w:color="auto" w:sz="4" w:space="0"/>
              <w:left w:val="nil"/>
              <w:bottom w:val="nil"/>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r>
      <w:tr>
        <w:tblPrEx>
          <w:tblCellMar>
            <w:top w:w="0" w:type="dxa"/>
            <w:left w:w="108" w:type="dxa"/>
            <w:bottom w:w="0" w:type="dxa"/>
            <w:right w:w="108" w:type="dxa"/>
          </w:tblCellMar>
        </w:tblPrEx>
        <w:trPr>
          <w:trHeight w:val="937" w:hRule="atLeast"/>
          <w:jc w:val="center"/>
        </w:trPr>
        <w:tc>
          <w:tcPr>
            <w:tcW w:w="449" w:type="dxa"/>
            <w:vMerge w:val="continue"/>
            <w:tcBorders>
              <w:top w:val="nil"/>
              <w:left w:val="single" w:color="auto" w:sz="4" w:space="0"/>
              <w:bottom w:val="nil"/>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1616"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高中政治（时事政治与社会适应）</w:t>
            </w:r>
          </w:p>
        </w:tc>
        <w:tc>
          <w:tcPr>
            <w:tcW w:w="655" w:type="dxa"/>
            <w:tcBorders>
              <w:top w:val="single" w:color="auto" w:sz="4" w:space="0"/>
              <w:left w:val="nil"/>
              <w:bottom w:val="nil"/>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96</w:t>
            </w:r>
          </w:p>
        </w:tc>
        <w:tc>
          <w:tcPr>
            <w:tcW w:w="655" w:type="dxa"/>
            <w:tcBorders>
              <w:top w:val="single" w:color="auto" w:sz="4" w:space="0"/>
              <w:left w:val="nil"/>
              <w:bottom w:val="nil"/>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96</w:t>
            </w:r>
          </w:p>
        </w:tc>
        <w:tc>
          <w:tcPr>
            <w:tcW w:w="67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sz w:val="21"/>
                <w:szCs w:val="21"/>
                <w:highlight w:val="none"/>
              </w:rPr>
            </w:pPr>
          </w:p>
        </w:tc>
        <w:tc>
          <w:tcPr>
            <w:tcW w:w="5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5-6</w:t>
            </w:r>
          </w:p>
        </w:tc>
        <w:tc>
          <w:tcPr>
            <w:tcW w:w="57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highlight w:val="none"/>
              </w:rPr>
            </w:pPr>
          </w:p>
        </w:tc>
        <w:tc>
          <w:tcPr>
            <w:tcW w:w="550" w:type="dxa"/>
            <w:tcBorders>
              <w:top w:val="single" w:color="auto" w:sz="4" w:space="0"/>
              <w:left w:val="nil"/>
              <w:bottom w:val="nil"/>
              <w:right w:val="single" w:color="auto" w:sz="4" w:space="0"/>
            </w:tcBorders>
            <w:vAlign w:val="center"/>
          </w:tcPr>
          <w:p>
            <w:pPr>
              <w:jc w:val="center"/>
              <w:rPr>
                <w:rFonts w:hint="eastAsia" w:ascii="仿宋" w:hAnsi="仿宋" w:eastAsia="仿宋" w:cs="仿宋"/>
                <w:sz w:val="21"/>
                <w:szCs w:val="21"/>
                <w:highlight w:val="none"/>
              </w:rPr>
            </w:pPr>
          </w:p>
        </w:tc>
        <w:tc>
          <w:tcPr>
            <w:tcW w:w="551" w:type="dxa"/>
            <w:tcBorders>
              <w:top w:val="single" w:color="auto" w:sz="4" w:space="0"/>
              <w:left w:val="nil"/>
              <w:bottom w:val="nil"/>
              <w:right w:val="single" w:color="auto" w:sz="4" w:space="0"/>
            </w:tcBorders>
            <w:vAlign w:val="center"/>
          </w:tcPr>
          <w:p>
            <w:pPr>
              <w:jc w:val="center"/>
              <w:rPr>
                <w:rFonts w:hint="eastAsia" w:ascii="仿宋" w:hAnsi="仿宋" w:eastAsia="仿宋" w:cs="仿宋"/>
                <w:sz w:val="21"/>
                <w:szCs w:val="21"/>
                <w:highlight w:val="none"/>
              </w:rPr>
            </w:pPr>
          </w:p>
        </w:tc>
        <w:tc>
          <w:tcPr>
            <w:tcW w:w="550" w:type="dxa"/>
            <w:tcBorders>
              <w:top w:val="single" w:color="auto" w:sz="4" w:space="0"/>
              <w:left w:val="nil"/>
              <w:bottom w:val="nil"/>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1" w:type="dxa"/>
            <w:tcBorders>
              <w:top w:val="nil"/>
              <w:left w:val="nil"/>
              <w:bottom w:val="nil"/>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50" w:type="dxa"/>
            <w:tcBorders>
              <w:top w:val="nil"/>
              <w:left w:val="nil"/>
              <w:bottom w:val="nil"/>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641" w:type="dxa"/>
            <w:tcBorders>
              <w:top w:val="single" w:color="auto" w:sz="4" w:space="0"/>
              <w:left w:val="nil"/>
              <w:bottom w:val="nil"/>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r>
      <w:tr>
        <w:tblPrEx>
          <w:tblCellMar>
            <w:top w:w="0" w:type="dxa"/>
            <w:left w:w="108" w:type="dxa"/>
            <w:bottom w:w="0" w:type="dxa"/>
            <w:right w:w="108" w:type="dxa"/>
          </w:tblCellMar>
        </w:tblPrEx>
        <w:trPr>
          <w:trHeight w:val="426" w:hRule="atLeast"/>
          <w:jc w:val="center"/>
        </w:trPr>
        <w:tc>
          <w:tcPr>
            <w:tcW w:w="449" w:type="dxa"/>
            <w:vMerge w:val="continue"/>
            <w:tcBorders>
              <w:top w:val="nil"/>
              <w:left w:val="single" w:color="auto" w:sz="4" w:space="0"/>
              <w:bottom w:val="nil"/>
              <w:right w:val="single" w:color="auto" w:sz="4" w:space="0"/>
            </w:tcBorders>
            <w:vAlign w:val="center"/>
          </w:tcPr>
          <w:p>
            <w:pPr>
              <w:widowControl/>
              <w:jc w:val="left"/>
              <w:rPr>
                <w:rFonts w:hint="eastAsia" w:ascii="仿宋" w:hAnsi="仿宋" w:eastAsia="仿宋" w:cs="仿宋"/>
                <w:b/>
                <w:bCs/>
                <w:sz w:val="21"/>
                <w:szCs w:val="21"/>
                <w:highlight w:val="none"/>
              </w:rPr>
            </w:pPr>
          </w:p>
        </w:tc>
        <w:tc>
          <w:tcPr>
            <w:tcW w:w="2178" w:type="dxa"/>
            <w:gridSpan w:val="2"/>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小计</w:t>
            </w:r>
          </w:p>
        </w:tc>
        <w:tc>
          <w:tcPr>
            <w:tcW w:w="655"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仿宋" w:hAnsi="仿宋" w:eastAsia="仿宋" w:cs="仿宋"/>
                <w:sz w:val="21"/>
                <w:szCs w:val="21"/>
                <w:highlight w:val="none"/>
              </w:rPr>
            </w:pPr>
            <w:r>
              <w:rPr>
                <w:rFonts w:hint="eastAsia" w:ascii="仿宋" w:hAnsi="仿宋" w:eastAsia="仿宋" w:cs="仿宋"/>
                <w:color w:val="000000"/>
                <w:kern w:val="0"/>
                <w:sz w:val="22"/>
                <w:highlight w:val="none"/>
                <w:lang w:bidi="ar"/>
              </w:rPr>
              <w:t>504</w:t>
            </w:r>
          </w:p>
        </w:tc>
        <w:tc>
          <w:tcPr>
            <w:tcW w:w="655"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仿宋" w:hAnsi="仿宋" w:eastAsia="仿宋" w:cs="仿宋"/>
                <w:sz w:val="21"/>
                <w:szCs w:val="21"/>
                <w:highlight w:val="none"/>
              </w:rPr>
            </w:pPr>
            <w:r>
              <w:rPr>
                <w:rFonts w:hint="eastAsia" w:ascii="仿宋" w:hAnsi="仿宋" w:eastAsia="仿宋" w:cs="仿宋"/>
                <w:color w:val="000000"/>
                <w:kern w:val="0"/>
                <w:sz w:val="22"/>
                <w:highlight w:val="none"/>
                <w:lang w:bidi="ar"/>
              </w:rPr>
              <w:t>472</w:t>
            </w:r>
          </w:p>
        </w:tc>
        <w:tc>
          <w:tcPr>
            <w:tcW w:w="67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32</w:t>
            </w: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p>
        </w:tc>
        <w:tc>
          <w:tcPr>
            <w:tcW w:w="578"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sz w:val="21"/>
                <w:szCs w:val="21"/>
                <w:highlight w:val="none"/>
              </w:rPr>
              <w:t>2</w:t>
            </w:r>
          </w:p>
        </w:tc>
        <w:tc>
          <w:tcPr>
            <w:tcW w:w="55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1"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64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r>
      <w:tr>
        <w:tblPrEx>
          <w:tblCellMar>
            <w:top w:w="0" w:type="dxa"/>
            <w:left w:w="108" w:type="dxa"/>
            <w:bottom w:w="0" w:type="dxa"/>
            <w:right w:w="108" w:type="dxa"/>
          </w:tblCellMar>
        </w:tblPrEx>
        <w:trPr>
          <w:trHeight w:val="426" w:hRule="atLeast"/>
          <w:jc w:val="center"/>
        </w:trPr>
        <w:tc>
          <w:tcPr>
            <w:tcW w:w="449" w:type="dxa"/>
            <w:vMerge w:val="restart"/>
            <w:tcBorders>
              <w:top w:val="nil"/>
              <w:left w:val="single" w:color="auto" w:sz="4" w:space="0"/>
              <w:right w:val="single" w:color="auto" w:sz="4" w:space="0"/>
            </w:tcBorders>
            <w:vAlign w:val="center"/>
          </w:tcPr>
          <w:p>
            <w:pPr>
              <w:widowControl/>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实践教学</w:t>
            </w:r>
          </w:p>
        </w:tc>
        <w:tc>
          <w:tcPr>
            <w:tcW w:w="2178" w:type="dxa"/>
            <w:gridSpan w:val="2"/>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军训</w:t>
            </w:r>
          </w:p>
        </w:tc>
        <w:tc>
          <w:tcPr>
            <w:tcW w:w="65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5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7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78"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2周　</w:t>
            </w:r>
          </w:p>
        </w:tc>
        <w:tc>
          <w:tcPr>
            <w:tcW w:w="55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1"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4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r>
      <w:tr>
        <w:tblPrEx>
          <w:tblCellMar>
            <w:top w:w="0" w:type="dxa"/>
            <w:left w:w="108" w:type="dxa"/>
            <w:bottom w:w="0" w:type="dxa"/>
            <w:right w:w="108" w:type="dxa"/>
          </w:tblCellMar>
        </w:tblPrEx>
        <w:trPr>
          <w:trHeight w:val="426" w:hRule="atLeast"/>
          <w:jc w:val="center"/>
        </w:trPr>
        <w:tc>
          <w:tcPr>
            <w:tcW w:w="449" w:type="dxa"/>
            <w:vMerge w:val="continue"/>
            <w:tcBorders>
              <w:left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2178" w:type="dxa"/>
            <w:gridSpan w:val="2"/>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入学教育</w:t>
            </w:r>
          </w:p>
        </w:tc>
        <w:tc>
          <w:tcPr>
            <w:tcW w:w="65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5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7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78"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1周</w:t>
            </w:r>
          </w:p>
        </w:tc>
        <w:tc>
          <w:tcPr>
            <w:tcW w:w="55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1"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4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r>
      <w:tr>
        <w:tblPrEx>
          <w:tblCellMar>
            <w:top w:w="0" w:type="dxa"/>
            <w:left w:w="108" w:type="dxa"/>
            <w:bottom w:w="0" w:type="dxa"/>
            <w:right w:w="108" w:type="dxa"/>
          </w:tblCellMar>
        </w:tblPrEx>
        <w:trPr>
          <w:trHeight w:val="426" w:hRule="atLeast"/>
          <w:jc w:val="center"/>
        </w:trPr>
        <w:tc>
          <w:tcPr>
            <w:tcW w:w="449" w:type="dxa"/>
            <w:vMerge w:val="continue"/>
            <w:tcBorders>
              <w:left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2178" w:type="dxa"/>
            <w:gridSpan w:val="2"/>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毕业教育</w:t>
            </w:r>
          </w:p>
        </w:tc>
        <w:tc>
          <w:tcPr>
            <w:tcW w:w="65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5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7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78"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1"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4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1周　</w:t>
            </w:r>
          </w:p>
        </w:tc>
      </w:tr>
      <w:tr>
        <w:tblPrEx>
          <w:tblCellMar>
            <w:top w:w="0" w:type="dxa"/>
            <w:left w:w="108" w:type="dxa"/>
            <w:bottom w:w="0" w:type="dxa"/>
            <w:right w:w="108" w:type="dxa"/>
          </w:tblCellMar>
        </w:tblPrEx>
        <w:trPr>
          <w:trHeight w:val="436" w:hRule="atLeast"/>
          <w:jc w:val="center"/>
        </w:trPr>
        <w:tc>
          <w:tcPr>
            <w:tcW w:w="2627" w:type="dxa"/>
            <w:gridSpan w:val="3"/>
            <w:tcBorders>
              <w:top w:val="nil"/>
              <w:left w:val="single" w:color="auto" w:sz="4" w:space="0"/>
              <w:bottom w:val="single" w:color="000000" w:sz="4" w:space="0"/>
              <w:right w:val="single" w:color="000000"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总课时(学分)</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2880</w:t>
            </w:r>
          </w:p>
        </w:tc>
        <w:tc>
          <w:tcPr>
            <w:tcW w:w="65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2614</w:t>
            </w:r>
          </w:p>
        </w:tc>
        <w:tc>
          <w:tcPr>
            <w:tcW w:w="67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266</w:t>
            </w: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p>
        </w:tc>
        <w:tc>
          <w:tcPr>
            <w:tcW w:w="578"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p>
        </w:tc>
        <w:tc>
          <w:tcPr>
            <w:tcW w:w="550" w:type="dxa"/>
            <w:tcBorders>
              <w:top w:val="nil"/>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sz w:val="20"/>
                <w:szCs w:val="20"/>
                <w:highlight w:val="none"/>
              </w:rPr>
              <w:t>28</w:t>
            </w:r>
          </w:p>
        </w:tc>
        <w:tc>
          <w:tcPr>
            <w:tcW w:w="551" w:type="dxa"/>
            <w:tcBorders>
              <w:top w:val="nil"/>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sz w:val="20"/>
                <w:szCs w:val="20"/>
                <w:highlight w:val="none"/>
              </w:rPr>
              <w:t>28</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28</w:t>
            </w:r>
          </w:p>
        </w:tc>
        <w:tc>
          <w:tcPr>
            <w:tcW w:w="551"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28</w:t>
            </w:r>
          </w:p>
        </w:tc>
        <w:tc>
          <w:tcPr>
            <w:tcW w:w="550"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4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r>
    </w:tbl>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、实施保障</w:t>
      </w:r>
      <w:bookmarkEnd w:id="39"/>
      <w:bookmarkEnd w:id="40"/>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41" w:name="_Toc21958"/>
      <w:bookmarkStart w:id="42" w:name="_Toc24110"/>
      <w:r>
        <w:rPr>
          <w:rFonts w:hint="eastAsia" w:ascii="楷体" w:hAnsi="楷体" w:eastAsia="楷体" w:cs="楷体"/>
          <w:b/>
          <w:bCs/>
          <w:color w:val="000000" w:themeColor="text1"/>
          <w:sz w:val="32"/>
          <w:szCs w:val="32"/>
          <w14:textFill>
            <w14:solidFill>
              <w14:schemeClr w14:val="tx1"/>
            </w14:solidFill>
          </w14:textFill>
        </w:rPr>
        <w:t>（一）师资队伍</w:t>
      </w:r>
      <w:bookmarkEnd w:id="41"/>
      <w:bookmarkEnd w:id="42"/>
    </w:p>
    <w:p>
      <w:pPr>
        <w:spacing w:line="560" w:lineRule="exact"/>
        <w:ind w:firstLine="570"/>
        <w:jc w:val="left"/>
        <w:rPr>
          <w:rFonts w:hint="eastAsia" w:ascii="仿宋" w:hAnsi="仿宋" w:eastAsia="仿宋" w:cs="仿宋"/>
          <w:b/>
          <w:bCs w:val="0"/>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根据专业建设总体目标和人才培养要求，围绕提高师资队伍整体专业水平和执教能力，构建以培养专家型学科带头人为核心，以培养骨干教师队伍为主旨，锻炼青年教师队伍为重点的教师培养机制，通过教师队伍培养和结构调整、形成适应专业发展需要的师资团队。</w:t>
      </w:r>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43" w:name="_Toc10997"/>
      <w:bookmarkStart w:id="44" w:name="_Toc19530"/>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教学设施</w:t>
      </w:r>
      <w:bookmarkEnd w:id="43"/>
      <w:bookmarkEnd w:id="44"/>
    </w:p>
    <w:p>
      <w:pPr>
        <w:spacing w:line="560" w:lineRule="exact"/>
        <w:ind w:firstLine="570"/>
        <w:jc w:val="left"/>
        <w:outlineLvl w:val="2"/>
        <w:rPr>
          <w:rFonts w:hint="eastAsia" w:ascii="仿宋" w:hAnsi="仿宋" w:eastAsia="仿宋" w:cs="仿宋"/>
          <w:b/>
          <w:bCs w:val="0"/>
          <w:color w:val="000000" w:themeColor="text1"/>
          <w:sz w:val="32"/>
          <w:szCs w:val="32"/>
          <w14:textFill>
            <w14:solidFill>
              <w14:schemeClr w14:val="tx1"/>
            </w14:solidFill>
          </w14:textFill>
        </w:rPr>
      </w:pPr>
      <w:bookmarkStart w:id="45" w:name="_Toc11797"/>
      <w:bookmarkStart w:id="46" w:name="_Toc15810"/>
      <w:r>
        <w:rPr>
          <w:rFonts w:hint="eastAsia" w:ascii="仿宋" w:hAnsi="仿宋" w:eastAsia="仿宋" w:cs="仿宋"/>
          <w:b/>
          <w:bCs w:val="0"/>
          <w:color w:val="000000" w:themeColor="text1"/>
          <w:sz w:val="32"/>
          <w:szCs w:val="32"/>
          <w14:textFill>
            <w14:solidFill>
              <w14:schemeClr w14:val="tx1"/>
            </w14:solidFill>
          </w14:textFill>
        </w:rPr>
        <w:t>1.专业教室基本条件</w:t>
      </w:r>
      <w:bookmarkEnd w:id="45"/>
      <w:bookmarkEnd w:id="46"/>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专业教室一般配备黑(白) 板、多媒体计算机、投影设备、音响设备，互联网接入或WiFi环境，并实施网络安全防护措施</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安装应急照明装置并保持良好状态，符合紧急疏散要求，标志明显，保持逃生通道畅通无阻。</w:t>
      </w:r>
    </w:p>
    <w:p>
      <w:pPr>
        <w:spacing w:line="560" w:lineRule="exact"/>
        <w:ind w:firstLine="570"/>
        <w:jc w:val="left"/>
        <w:outlineLvl w:val="2"/>
        <w:rPr>
          <w:rFonts w:hint="eastAsia" w:ascii="仿宋" w:hAnsi="仿宋" w:eastAsia="仿宋" w:cs="仿宋"/>
          <w:b/>
          <w:bCs w:val="0"/>
          <w:color w:val="000000" w:themeColor="text1"/>
          <w:sz w:val="32"/>
          <w:szCs w:val="32"/>
          <w:highlight w:val="none"/>
          <w14:textFill>
            <w14:solidFill>
              <w14:schemeClr w14:val="tx1"/>
            </w14:solidFill>
          </w14:textFill>
        </w:rPr>
      </w:pPr>
      <w:bookmarkStart w:id="47" w:name="_Toc24523"/>
      <w:bookmarkStart w:id="48" w:name="_Toc26043"/>
      <w:r>
        <w:rPr>
          <w:rFonts w:hint="eastAsia" w:ascii="仿宋" w:hAnsi="仿宋" w:eastAsia="仿宋" w:cs="仿宋"/>
          <w:b/>
          <w:bCs w:val="0"/>
          <w:color w:val="000000" w:themeColor="text1"/>
          <w:sz w:val="32"/>
          <w:szCs w:val="32"/>
          <w:highlight w:val="none"/>
          <w14:textFill>
            <w14:solidFill>
              <w14:schemeClr w14:val="tx1"/>
            </w14:solidFill>
          </w14:textFill>
        </w:rPr>
        <w:t>2.校内实训室基本要求</w:t>
      </w:r>
      <w:bookmarkEnd w:id="47"/>
      <w:bookmarkEnd w:id="48"/>
      <w:r>
        <w:rPr>
          <w:rFonts w:hint="eastAsia" w:ascii="仿宋" w:hAnsi="仿宋" w:eastAsia="仿宋" w:cs="仿宋"/>
          <w:b/>
          <w:bCs w:val="0"/>
          <w:color w:val="000000" w:themeColor="text1"/>
          <w:sz w:val="32"/>
          <w:szCs w:val="32"/>
          <w:highlight w:val="none"/>
          <w14:textFill>
            <w14:solidFill>
              <w14:schemeClr w14:val="tx1"/>
            </w14:solidFill>
          </w14:textFill>
        </w:rPr>
        <w:t xml:space="preserve"> </w:t>
      </w:r>
    </w:p>
    <w:tbl>
      <w:tblPr>
        <w:tblStyle w:val="11"/>
        <w:tblW w:w="7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186"/>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序号</w:t>
            </w:r>
          </w:p>
        </w:tc>
        <w:tc>
          <w:tcPr>
            <w:tcW w:w="218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实训室名称</w:t>
            </w:r>
          </w:p>
        </w:tc>
        <w:tc>
          <w:tcPr>
            <w:tcW w:w="490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1</w:t>
            </w:r>
          </w:p>
        </w:tc>
        <w:tc>
          <w:tcPr>
            <w:tcW w:w="218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1</w:t>
            </w:r>
          </w:p>
        </w:tc>
        <w:tc>
          <w:tcPr>
            <w:tcW w:w="4900"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2</w:t>
            </w:r>
          </w:p>
        </w:tc>
        <w:tc>
          <w:tcPr>
            <w:tcW w:w="218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2</w:t>
            </w:r>
          </w:p>
        </w:tc>
        <w:tc>
          <w:tcPr>
            <w:tcW w:w="4900"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3</w:t>
            </w:r>
          </w:p>
        </w:tc>
        <w:tc>
          <w:tcPr>
            <w:tcW w:w="218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3</w:t>
            </w:r>
          </w:p>
        </w:tc>
        <w:tc>
          <w:tcPr>
            <w:tcW w:w="4900"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4</w:t>
            </w:r>
          </w:p>
        </w:tc>
        <w:tc>
          <w:tcPr>
            <w:tcW w:w="218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4</w:t>
            </w:r>
          </w:p>
        </w:tc>
        <w:tc>
          <w:tcPr>
            <w:tcW w:w="4900"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50台电脑、1套多媒体设备、教学软件</w:t>
            </w:r>
          </w:p>
        </w:tc>
      </w:tr>
    </w:tbl>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49" w:name="_Toc3812"/>
      <w:bookmarkStart w:id="50" w:name="_Toc26013"/>
      <w:r>
        <w:rPr>
          <w:rFonts w:hint="eastAsia" w:ascii="楷体" w:hAnsi="楷体" w:eastAsia="楷体" w:cs="楷体"/>
          <w:b/>
          <w:bCs/>
          <w:color w:val="000000" w:themeColor="text1"/>
          <w:sz w:val="32"/>
          <w:szCs w:val="32"/>
          <w14:textFill>
            <w14:solidFill>
              <w14:schemeClr w14:val="tx1"/>
            </w14:solidFill>
          </w14:textFill>
        </w:rPr>
        <w:t>(三) 教学资源</w:t>
      </w:r>
      <w:bookmarkEnd w:id="49"/>
      <w:bookmarkEnd w:id="50"/>
    </w:p>
    <w:tbl>
      <w:tblPr>
        <w:tblStyle w:val="10"/>
        <w:tblW w:w="8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2"/>
        <w:gridCol w:w="2031"/>
        <w:gridCol w:w="1767"/>
        <w:gridCol w:w="1009"/>
        <w:gridCol w:w="919"/>
        <w:gridCol w:w="1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课程名称</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教材名称</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教材作者</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版本号</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ISBN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英语练习册基础模块3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sz w:val="20"/>
                <w:szCs w:val="20"/>
                <w:u w:val="none"/>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9787040581263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英语教师用书基础模块3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9787040581256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英语练习册基础模块 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9787040567724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英语教师用书基础模块 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9787040567717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英语基础模块3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9787040563368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英语基础模块1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9787040563344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高中语文</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天津市春季高考中职毕业生复习指导教材 语文</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天津市春季招生考试研究组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天津人民出版社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第2版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9787201178585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计算机应用与逻辑</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天津市春季高考升学考试复习指导.工程技术类</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苏懿琳</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语文出版社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9787518714384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天津市春季高考 中职毕业生复习指导教材 英语</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天津市春季招生考试研究组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天津人民出版社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第2版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9787201178578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数学学习指导与练习（拓展模块一）上册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 组编</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9787040586930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数学学习指导与练习（基础模块）上册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 组编</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数学拓展模块一 (上册)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 组编</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9787040584783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数学教学参考书（拓展模块一）上册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9787040590814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数学基础模块（上册）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 组编</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9787040562590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信息技术</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Style w:val="29"/>
                <w:rFonts w:hint="eastAsia" w:ascii="仿宋" w:hAnsi="仿宋" w:eastAsia="仿宋" w:cs="仿宋"/>
                <w:lang w:val="en-US" w:eastAsia="zh-CN" w:bidi="ar"/>
              </w:rPr>
              <w:t>信息技术（基础模块）（下册）</w:t>
            </w:r>
            <w:r>
              <w:rPr>
                <w:rFonts w:hint="eastAsia" w:ascii="仿宋" w:hAnsi="仿宋" w:eastAsia="仿宋" w:cs="仿宋"/>
                <w:i w:val="0"/>
                <w:iCs w:val="0"/>
                <w:color w:val="000000"/>
                <w:kern w:val="0"/>
                <w:sz w:val="20"/>
                <w:szCs w:val="20"/>
                <w:u w:val="none"/>
                <w:lang w:val="en-US" w:eastAsia="zh-CN" w:bidi="ar"/>
              </w:rPr>
              <w:t>[</w:t>
            </w:r>
            <w:r>
              <w:rPr>
                <w:rStyle w:val="29"/>
                <w:rFonts w:hint="eastAsia" w:ascii="仿宋" w:hAnsi="仿宋" w:eastAsia="仿宋" w:cs="仿宋"/>
                <w:lang w:val="en-US" w:eastAsia="zh-CN" w:bidi="ar"/>
              </w:rPr>
              <w:t>彩色</w:t>
            </w:r>
            <w:r>
              <w:rPr>
                <w:rFonts w:hint="eastAsia" w:ascii="仿宋" w:hAnsi="仿宋" w:eastAsia="仿宋" w:cs="仿宋"/>
                <w:i w:val="0"/>
                <w:iCs w:val="0"/>
                <w:color w:val="000000"/>
                <w:kern w:val="0"/>
                <w:sz w:val="20"/>
                <w:szCs w:val="20"/>
                <w:u w:val="none"/>
                <w:lang w:val="en-US" w:eastAsia="zh-CN" w:bidi="ar"/>
              </w:rPr>
              <w:t>]</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徐维祥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9787040562705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信息技术</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信息技术（基础模块）（上册）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徐维祥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9787040562699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体育与健康</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体育与健康</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李金梅</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9787040562736</w:t>
            </w: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bCs/>
          <w:color w:val="000000" w:themeColor="text1"/>
          <w:sz w:val="32"/>
          <w:szCs w:val="32"/>
          <w14:textFill>
            <w14:solidFill>
              <w14:schemeClr w14:val="tx1"/>
            </w14:solidFill>
          </w14:textFill>
        </w:rPr>
      </w:pPr>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51" w:name="_Toc19869"/>
      <w:bookmarkStart w:id="52" w:name="_Toc10990"/>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四</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教学方法</w:t>
      </w:r>
      <w:bookmarkEnd w:id="51"/>
      <w:bookmarkEnd w:id="52"/>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spacing w:val="-8"/>
          <w:sz w:val="32"/>
          <w:szCs w:val="32"/>
        </w:rPr>
        <w:t>因材施教、因需施教，鼓励创新教学方法和策略，采用案例教学</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项目教学等方法，坚持学中做、做中学，以达成预期教学目标。</w:t>
      </w:r>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53" w:name="_Toc12900"/>
      <w:bookmarkStart w:id="54" w:name="_Toc19123"/>
      <w:r>
        <w:rPr>
          <w:rFonts w:hint="eastAsia" w:ascii="楷体" w:hAnsi="楷体" w:eastAsia="楷体" w:cs="楷体"/>
          <w:b/>
          <w:bCs/>
          <w:color w:val="000000" w:themeColor="text1"/>
          <w:sz w:val="32"/>
          <w:szCs w:val="32"/>
          <w14:textFill>
            <w14:solidFill>
              <w14:schemeClr w14:val="tx1"/>
            </w14:solidFill>
          </w14:textFill>
        </w:rPr>
        <w:t>（五）学习评价</w:t>
      </w:r>
      <w:bookmarkEnd w:id="53"/>
      <w:bookmarkEnd w:id="54"/>
    </w:p>
    <w:p>
      <w:pPr>
        <w:spacing w:line="560" w:lineRule="exact"/>
        <w:ind w:firstLine="570"/>
        <w:jc w:val="left"/>
        <w:outlineLvl w:val="2"/>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每学期末通过学校教师综合考核对教师教学进行评价,课程依据学生课堂参与、阶段性检测、日常学习情况、期末考试成绩对学生进行认知、技能、情感等方面的综合评价</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计算机类专业基础课程</w:t>
      </w:r>
      <w:r>
        <w:rPr>
          <w:rFonts w:hint="eastAsia" w:ascii="仿宋" w:hAnsi="仿宋" w:eastAsia="仿宋" w:cs="仿宋"/>
          <w:bCs/>
          <w:color w:val="000000" w:themeColor="text1"/>
          <w:sz w:val="32"/>
          <w:szCs w:val="32"/>
          <w:lang w:val="en-US" w:eastAsia="zh-CN"/>
          <w14:textFill>
            <w14:solidFill>
              <w14:schemeClr w14:val="tx1"/>
            </w14:solidFill>
          </w14:textFill>
        </w:rPr>
        <w:t>也可以采用</w:t>
      </w:r>
      <w:r>
        <w:rPr>
          <w:rFonts w:hint="eastAsia" w:ascii="仿宋" w:hAnsi="仿宋" w:eastAsia="仿宋" w:cs="仿宋"/>
          <w:bCs/>
          <w:color w:val="000000" w:themeColor="text1"/>
          <w:sz w:val="32"/>
          <w:szCs w:val="32"/>
          <w14:textFill>
            <w14:solidFill>
              <w14:schemeClr w14:val="tx1"/>
            </w14:solidFill>
          </w14:textFill>
        </w:rPr>
        <w:t>职业资格鉴定方式进行评价。</w:t>
      </w:r>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55" w:name="_Toc1217"/>
      <w:bookmarkStart w:id="56" w:name="_Toc1117"/>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六</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质量管理</w:t>
      </w:r>
      <w:bookmarkEnd w:id="55"/>
      <w:bookmarkEnd w:id="56"/>
    </w:p>
    <w:p>
      <w:pPr>
        <w:spacing w:line="560" w:lineRule="exact"/>
        <w:ind w:firstLine="627" w:firstLineChars="196"/>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1.搭建人才培养质量保障体系</w:t>
      </w:r>
    </w:p>
    <w:p>
      <w:pPr>
        <w:spacing w:line="560" w:lineRule="exact"/>
        <w:ind w:firstLine="627" w:firstLineChars="196"/>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专业人才培养质量保证体系建立基于学校体系框架，以专业建设为统领，以人才培养为主线，引入标准，设计内部质保体系。理顺工作流程，明确工作职责，通过体系建设和任务分工明确部门、人员在专业建设质量保障体系中的职责，做到“三全”覆盖。</w:t>
      </w:r>
    </w:p>
    <w:p>
      <w:pPr>
        <w:spacing w:line="560" w:lineRule="exact"/>
        <w:ind w:firstLine="627" w:firstLineChars="196"/>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2.建立人才培养方案动态调整机制</w:t>
      </w:r>
    </w:p>
    <w:p>
      <w:pPr>
        <w:spacing w:line="560" w:lineRule="exact"/>
        <w:ind w:firstLine="627" w:firstLineChars="196"/>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以人才培养目标为起点，按照 “目标一标准一设计一组织一实施一诊断一激励一学习一创新一改进”形成质量改进大循环,按照“监控一预警一改进”实时监控人才培养状态，形成质量诊改小循环，大、小循环同时作用形成“8字”专业质量改进螺旋。明确“一年小螺旋三年大螺旋”的诊改周期，通过数据采集平台掌握专业建设、专业发展与人才培养状况，及时发布预警、动态进行人才培养方案的调整基于“8字”质量改进螺旋，构建完善的专业建设制度体系和标准体系，为专业人才培养方案的有效实施提供基础保障</w:t>
      </w:r>
    </w:p>
    <w:p>
      <w:pPr>
        <w:spacing w:line="560" w:lineRule="exact"/>
        <w:ind w:firstLine="627" w:firstLineChars="196"/>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3.信息化管理模式运用</w:t>
      </w:r>
    </w:p>
    <w:p>
      <w:pPr>
        <w:spacing w:line="560" w:lineRule="exact"/>
        <w:ind w:firstLine="627"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为了更好的实施专业建设和人才培养，搭建覆盖教学运行、管理质量分析全过程的信息化管理平台。将人才培养方案、教学计划、课程标准、授课计划植入平台，利用平台的信息化功能监控人才培养方案的落实、教学计划执行、教学过程的实施、成绩管理。实现实时的人才培养过程检查、评价、反馈和调节，持续提高教育教学质量。</w:t>
      </w:r>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57" w:name="_Toc7004"/>
      <w:bookmarkStart w:id="58" w:name="_Toc3516"/>
      <w:r>
        <w:rPr>
          <w:rFonts w:hint="eastAsia" w:ascii="黑体" w:hAnsi="黑体" w:eastAsia="黑体" w:cs="黑体"/>
          <w:color w:val="000000" w:themeColor="text1"/>
          <w:sz w:val="32"/>
          <w:szCs w:val="32"/>
          <w:lang w:val="en-US" w:eastAsia="zh-CN"/>
          <w14:textFill>
            <w14:solidFill>
              <w14:schemeClr w14:val="tx1"/>
            </w14:solidFill>
          </w14:textFill>
        </w:rPr>
        <w:t>十</w:t>
      </w:r>
      <w:r>
        <w:rPr>
          <w:rFonts w:hint="eastAsia" w:ascii="黑体" w:hAnsi="黑体" w:eastAsia="黑体" w:cs="黑体"/>
          <w:color w:val="000000" w:themeColor="text1"/>
          <w:sz w:val="32"/>
          <w:szCs w:val="32"/>
          <w14:textFill>
            <w14:solidFill>
              <w14:schemeClr w14:val="tx1"/>
            </w14:solidFill>
          </w14:textFill>
        </w:rPr>
        <w:t>、毕业要求</w:t>
      </w:r>
      <w:bookmarkEnd w:id="57"/>
      <w:bookmarkEnd w:id="58"/>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学生修完本专业人才培养方案所规定的课程并成绩合格，达到本专业人才培养目标和培养规格的要求方可毕业。</w:t>
      </w:r>
    </w:p>
    <w:p/>
    <w:sectPr>
      <w:headerReference r:id="rId3" w:type="default"/>
      <w:footerReference r:id="rId4" w:type="default"/>
      <w:pgSz w:w="11906" w:h="16838"/>
      <w:pgMar w:top="1417" w:right="1587" w:bottom="1417" w:left="158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8EFD6D-E551-498A-BD0B-109D07CE7F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FB4D1F7A-F4F6-4729-BFCC-312430442B76}"/>
  </w:font>
  <w:font w:name="方正小标宋简体">
    <w:panose1 w:val="02000000000000000000"/>
    <w:charset w:val="86"/>
    <w:family w:val="auto"/>
    <w:pitch w:val="default"/>
    <w:sig w:usb0="00000001" w:usb1="08000000" w:usb2="00000000" w:usb3="00000000" w:csb0="00040000" w:csb1="00000000"/>
    <w:embedRegular r:id="rId3" w:fontKey="{A4CF0325-E9EF-484F-8A82-E91EE07863BF}"/>
  </w:font>
  <w:font w:name="楷体">
    <w:panose1 w:val="02010609060101010101"/>
    <w:charset w:val="86"/>
    <w:family w:val="modern"/>
    <w:pitch w:val="default"/>
    <w:sig w:usb0="800002BF" w:usb1="38CF7CFA" w:usb2="00000016" w:usb3="00000000" w:csb0="00040001" w:csb1="00000000"/>
    <w:embedRegular r:id="rId4" w:fontKey="{C5B41ED0-31FB-41B1-8A2A-DA5B32B02D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val="en-US" w:eastAsia="zh-CN"/>
      </w:rPr>
    </w:pPr>
    <w:r>
      <w:rPr>
        <w:rFonts w:hint="eastAsia"/>
        <w:lang w:val="en-US" w:eastAsia="zh-CN"/>
      </w:rPr>
      <w:t xml:space="preserve">                                                                             石家庄财经商贸学校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0C7C2"/>
    <w:multiLevelType w:val="singleLevel"/>
    <w:tmpl w:val="2210C7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ZWM5YTNhOTBkZDJjYmU0OTE3YTEwOTUyMGU5OTQifQ=="/>
  </w:docVars>
  <w:rsids>
    <w:rsidRoot w:val="00100210"/>
    <w:rsid w:val="00032DC5"/>
    <w:rsid w:val="000369AA"/>
    <w:rsid w:val="0004303D"/>
    <w:rsid w:val="000443CC"/>
    <w:rsid w:val="000740BA"/>
    <w:rsid w:val="00096DF9"/>
    <w:rsid w:val="000C7954"/>
    <w:rsid w:val="000D1E49"/>
    <w:rsid w:val="000F4823"/>
    <w:rsid w:val="00100210"/>
    <w:rsid w:val="00106D80"/>
    <w:rsid w:val="00111F72"/>
    <w:rsid w:val="001240F0"/>
    <w:rsid w:val="00144E6F"/>
    <w:rsid w:val="001674D1"/>
    <w:rsid w:val="00173ADE"/>
    <w:rsid w:val="00185A5E"/>
    <w:rsid w:val="001C1D7A"/>
    <w:rsid w:val="001D31EC"/>
    <w:rsid w:val="00205BDC"/>
    <w:rsid w:val="00215842"/>
    <w:rsid w:val="00256AE1"/>
    <w:rsid w:val="002642B5"/>
    <w:rsid w:val="00270247"/>
    <w:rsid w:val="002C076B"/>
    <w:rsid w:val="002C2950"/>
    <w:rsid w:val="002C70FB"/>
    <w:rsid w:val="002D3BD5"/>
    <w:rsid w:val="002E547F"/>
    <w:rsid w:val="00303F21"/>
    <w:rsid w:val="00310D19"/>
    <w:rsid w:val="0034209D"/>
    <w:rsid w:val="0039446D"/>
    <w:rsid w:val="003974EC"/>
    <w:rsid w:val="003B19CD"/>
    <w:rsid w:val="003B5247"/>
    <w:rsid w:val="003E1855"/>
    <w:rsid w:val="003F30B1"/>
    <w:rsid w:val="003F34B1"/>
    <w:rsid w:val="003F70AE"/>
    <w:rsid w:val="00406E2C"/>
    <w:rsid w:val="004131A4"/>
    <w:rsid w:val="00427B89"/>
    <w:rsid w:val="00437874"/>
    <w:rsid w:val="00441685"/>
    <w:rsid w:val="00444061"/>
    <w:rsid w:val="00455438"/>
    <w:rsid w:val="00473DA8"/>
    <w:rsid w:val="004A081E"/>
    <w:rsid w:val="004A3F01"/>
    <w:rsid w:val="004A7F00"/>
    <w:rsid w:val="004C454F"/>
    <w:rsid w:val="004D55CA"/>
    <w:rsid w:val="004E015D"/>
    <w:rsid w:val="00503079"/>
    <w:rsid w:val="00514ED8"/>
    <w:rsid w:val="00571BAF"/>
    <w:rsid w:val="00581B78"/>
    <w:rsid w:val="005C1BFE"/>
    <w:rsid w:val="005E126F"/>
    <w:rsid w:val="005F298D"/>
    <w:rsid w:val="006076CB"/>
    <w:rsid w:val="006408F8"/>
    <w:rsid w:val="00656CD9"/>
    <w:rsid w:val="00691C72"/>
    <w:rsid w:val="006C416F"/>
    <w:rsid w:val="006D122A"/>
    <w:rsid w:val="006E156C"/>
    <w:rsid w:val="00713B81"/>
    <w:rsid w:val="00732C4A"/>
    <w:rsid w:val="00747A59"/>
    <w:rsid w:val="007D7997"/>
    <w:rsid w:val="008415F4"/>
    <w:rsid w:val="00844648"/>
    <w:rsid w:val="008533CE"/>
    <w:rsid w:val="008614D6"/>
    <w:rsid w:val="008A7114"/>
    <w:rsid w:val="008B6DA4"/>
    <w:rsid w:val="00902908"/>
    <w:rsid w:val="00923E5A"/>
    <w:rsid w:val="009263BB"/>
    <w:rsid w:val="009542C2"/>
    <w:rsid w:val="009576D7"/>
    <w:rsid w:val="0096046B"/>
    <w:rsid w:val="009960D3"/>
    <w:rsid w:val="009C1ADD"/>
    <w:rsid w:val="009C70B9"/>
    <w:rsid w:val="009D52C9"/>
    <w:rsid w:val="00A3043A"/>
    <w:rsid w:val="00A445C7"/>
    <w:rsid w:val="00A822D0"/>
    <w:rsid w:val="00AF42AE"/>
    <w:rsid w:val="00B0289B"/>
    <w:rsid w:val="00B06BF2"/>
    <w:rsid w:val="00B17230"/>
    <w:rsid w:val="00B42E5E"/>
    <w:rsid w:val="00B5098A"/>
    <w:rsid w:val="00B52B47"/>
    <w:rsid w:val="00B9046B"/>
    <w:rsid w:val="00BD39B1"/>
    <w:rsid w:val="00C46046"/>
    <w:rsid w:val="00CB280F"/>
    <w:rsid w:val="00CC065A"/>
    <w:rsid w:val="00D014E2"/>
    <w:rsid w:val="00D22EBC"/>
    <w:rsid w:val="00D32F62"/>
    <w:rsid w:val="00D37ABB"/>
    <w:rsid w:val="00D42C04"/>
    <w:rsid w:val="00D4309A"/>
    <w:rsid w:val="00D72799"/>
    <w:rsid w:val="00D93BBC"/>
    <w:rsid w:val="00DC496D"/>
    <w:rsid w:val="00DC5BD6"/>
    <w:rsid w:val="00DE36EA"/>
    <w:rsid w:val="00DE677C"/>
    <w:rsid w:val="00DF6AB5"/>
    <w:rsid w:val="00DF6C02"/>
    <w:rsid w:val="00E02047"/>
    <w:rsid w:val="00E052B8"/>
    <w:rsid w:val="00E26D88"/>
    <w:rsid w:val="00E47D09"/>
    <w:rsid w:val="00E84F4E"/>
    <w:rsid w:val="00E96D3A"/>
    <w:rsid w:val="00EC2BBA"/>
    <w:rsid w:val="00ED6820"/>
    <w:rsid w:val="00EF0F8C"/>
    <w:rsid w:val="00F444E1"/>
    <w:rsid w:val="00F82C0E"/>
    <w:rsid w:val="00F87C0A"/>
    <w:rsid w:val="00F9175A"/>
    <w:rsid w:val="00F93ED3"/>
    <w:rsid w:val="00FA6E2C"/>
    <w:rsid w:val="00FB6A8C"/>
    <w:rsid w:val="00FD78B9"/>
    <w:rsid w:val="00FE7A39"/>
    <w:rsid w:val="0123324D"/>
    <w:rsid w:val="02D85EB2"/>
    <w:rsid w:val="02EA5917"/>
    <w:rsid w:val="04D81AB7"/>
    <w:rsid w:val="05373B10"/>
    <w:rsid w:val="063E0A32"/>
    <w:rsid w:val="069846F5"/>
    <w:rsid w:val="06E16A66"/>
    <w:rsid w:val="088C4D6A"/>
    <w:rsid w:val="08E94A39"/>
    <w:rsid w:val="091C32AD"/>
    <w:rsid w:val="09467B5D"/>
    <w:rsid w:val="0B430809"/>
    <w:rsid w:val="0B811AED"/>
    <w:rsid w:val="0CD65AC1"/>
    <w:rsid w:val="0CDD0FA5"/>
    <w:rsid w:val="0DB0362D"/>
    <w:rsid w:val="0DF447F8"/>
    <w:rsid w:val="0E160667"/>
    <w:rsid w:val="0E625BB2"/>
    <w:rsid w:val="0EC51CF1"/>
    <w:rsid w:val="0ECB5B6B"/>
    <w:rsid w:val="0F247153"/>
    <w:rsid w:val="0F5B4751"/>
    <w:rsid w:val="102313C5"/>
    <w:rsid w:val="102B5D95"/>
    <w:rsid w:val="10572E1C"/>
    <w:rsid w:val="11A35B3D"/>
    <w:rsid w:val="12C14EC5"/>
    <w:rsid w:val="12FE508A"/>
    <w:rsid w:val="136B7DBC"/>
    <w:rsid w:val="138D6DEC"/>
    <w:rsid w:val="13A4337D"/>
    <w:rsid w:val="149D23A8"/>
    <w:rsid w:val="14D06118"/>
    <w:rsid w:val="151A1B54"/>
    <w:rsid w:val="15B55F3F"/>
    <w:rsid w:val="1623663A"/>
    <w:rsid w:val="164C76BB"/>
    <w:rsid w:val="180B23B7"/>
    <w:rsid w:val="182F1870"/>
    <w:rsid w:val="183B566C"/>
    <w:rsid w:val="198151FF"/>
    <w:rsid w:val="19AE45A5"/>
    <w:rsid w:val="1A1A0373"/>
    <w:rsid w:val="1A255D39"/>
    <w:rsid w:val="1A8C42F1"/>
    <w:rsid w:val="1B0B196C"/>
    <w:rsid w:val="1B6F1962"/>
    <w:rsid w:val="1D2D5EFB"/>
    <w:rsid w:val="1DB64619"/>
    <w:rsid w:val="1DDF63ED"/>
    <w:rsid w:val="1DE0292B"/>
    <w:rsid w:val="1E472722"/>
    <w:rsid w:val="1FD06747"/>
    <w:rsid w:val="21A41C3A"/>
    <w:rsid w:val="220D77DF"/>
    <w:rsid w:val="22DB371C"/>
    <w:rsid w:val="22F60DF3"/>
    <w:rsid w:val="23024E6A"/>
    <w:rsid w:val="230706D2"/>
    <w:rsid w:val="23B71BC2"/>
    <w:rsid w:val="24092228"/>
    <w:rsid w:val="24CC572F"/>
    <w:rsid w:val="256E6505"/>
    <w:rsid w:val="257858B7"/>
    <w:rsid w:val="25AB7A3A"/>
    <w:rsid w:val="26993D37"/>
    <w:rsid w:val="26B81385"/>
    <w:rsid w:val="276D3C0B"/>
    <w:rsid w:val="295E48AC"/>
    <w:rsid w:val="2B373B1E"/>
    <w:rsid w:val="2B3C2EE3"/>
    <w:rsid w:val="2B4071BA"/>
    <w:rsid w:val="2C205860"/>
    <w:rsid w:val="2CD21D51"/>
    <w:rsid w:val="2CD535EF"/>
    <w:rsid w:val="2D0A5F7B"/>
    <w:rsid w:val="2E1D31F2"/>
    <w:rsid w:val="2E54303D"/>
    <w:rsid w:val="2E9D638E"/>
    <w:rsid w:val="2F204FF5"/>
    <w:rsid w:val="2F997C91"/>
    <w:rsid w:val="2FF6078B"/>
    <w:rsid w:val="2FF63037"/>
    <w:rsid w:val="30516BD9"/>
    <w:rsid w:val="3130246D"/>
    <w:rsid w:val="31BC4F3E"/>
    <w:rsid w:val="326C2300"/>
    <w:rsid w:val="329545AB"/>
    <w:rsid w:val="32B141B6"/>
    <w:rsid w:val="331A6441"/>
    <w:rsid w:val="332847BE"/>
    <w:rsid w:val="33BE724F"/>
    <w:rsid w:val="33E02FA5"/>
    <w:rsid w:val="347B4A7C"/>
    <w:rsid w:val="355F7A83"/>
    <w:rsid w:val="377A101B"/>
    <w:rsid w:val="37E1109A"/>
    <w:rsid w:val="3A2F7418"/>
    <w:rsid w:val="3ADF74BC"/>
    <w:rsid w:val="3B1479D8"/>
    <w:rsid w:val="3B787F67"/>
    <w:rsid w:val="3CF63FED"/>
    <w:rsid w:val="3D22254D"/>
    <w:rsid w:val="3D4E2867"/>
    <w:rsid w:val="3DF15DAF"/>
    <w:rsid w:val="3E24645A"/>
    <w:rsid w:val="3EDE6333"/>
    <w:rsid w:val="3F0A7128"/>
    <w:rsid w:val="3F4462B2"/>
    <w:rsid w:val="3F921404"/>
    <w:rsid w:val="40082ACD"/>
    <w:rsid w:val="40752BD5"/>
    <w:rsid w:val="40EC7E53"/>
    <w:rsid w:val="41585FD8"/>
    <w:rsid w:val="42DE25ED"/>
    <w:rsid w:val="434B5C74"/>
    <w:rsid w:val="43903FD4"/>
    <w:rsid w:val="44016286"/>
    <w:rsid w:val="446C43E1"/>
    <w:rsid w:val="448E07FB"/>
    <w:rsid w:val="449E32F9"/>
    <w:rsid w:val="44DA4F9C"/>
    <w:rsid w:val="456E55CE"/>
    <w:rsid w:val="45B1409B"/>
    <w:rsid w:val="45F428E0"/>
    <w:rsid w:val="46136855"/>
    <w:rsid w:val="47461A98"/>
    <w:rsid w:val="47503B46"/>
    <w:rsid w:val="47954D07"/>
    <w:rsid w:val="48707C11"/>
    <w:rsid w:val="49415E3C"/>
    <w:rsid w:val="49423F82"/>
    <w:rsid w:val="49F16E16"/>
    <w:rsid w:val="4A833B86"/>
    <w:rsid w:val="4B7B0E38"/>
    <w:rsid w:val="4C3929FC"/>
    <w:rsid w:val="4C8F331D"/>
    <w:rsid w:val="4E2207FC"/>
    <w:rsid w:val="4F4E660B"/>
    <w:rsid w:val="4FC703DF"/>
    <w:rsid w:val="4FD55530"/>
    <w:rsid w:val="508E59BA"/>
    <w:rsid w:val="519D0D07"/>
    <w:rsid w:val="51CC64BF"/>
    <w:rsid w:val="540930BB"/>
    <w:rsid w:val="546E7D01"/>
    <w:rsid w:val="553A466A"/>
    <w:rsid w:val="55857A6A"/>
    <w:rsid w:val="56EA5E07"/>
    <w:rsid w:val="57914433"/>
    <w:rsid w:val="581F37ED"/>
    <w:rsid w:val="58353010"/>
    <w:rsid w:val="58477283"/>
    <w:rsid w:val="5898000A"/>
    <w:rsid w:val="5AF44BD5"/>
    <w:rsid w:val="5B467F48"/>
    <w:rsid w:val="5D69746A"/>
    <w:rsid w:val="5D6D6DA8"/>
    <w:rsid w:val="5DAF14DB"/>
    <w:rsid w:val="608A7C71"/>
    <w:rsid w:val="61E230C5"/>
    <w:rsid w:val="622928C7"/>
    <w:rsid w:val="64BC23C3"/>
    <w:rsid w:val="658F7382"/>
    <w:rsid w:val="667E1760"/>
    <w:rsid w:val="671E6944"/>
    <w:rsid w:val="676A3190"/>
    <w:rsid w:val="6A0C333F"/>
    <w:rsid w:val="6ACE3656"/>
    <w:rsid w:val="6ACF5FB6"/>
    <w:rsid w:val="6BB40184"/>
    <w:rsid w:val="6BD61FBC"/>
    <w:rsid w:val="6CE150BD"/>
    <w:rsid w:val="6EA35E84"/>
    <w:rsid w:val="6F23306A"/>
    <w:rsid w:val="6F7E7B76"/>
    <w:rsid w:val="70A1528F"/>
    <w:rsid w:val="70FC60D0"/>
    <w:rsid w:val="713C2FB5"/>
    <w:rsid w:val="71DB6FD3"/>
    <w:rsid w:val="71E415DB"/>
    <w:rsid w:val="71F31B1A"/>
    <w:rsid w:val="7229553C"/>
    <w:rsid w:val="72A02B79"/>
    <w:rsid w:val="73C3376E"/>
    <w:rsid w:val="73F25315"/>
    <w:rsid w:val="74196E47"/>
    <w:rsid w:val="744A61C6"/>
    <w:rsid w:val="74685495"/>
    <w:rsid w:val="75EA4FE2"/>
    <w:rsid w:val="76003C61"/>
    <w:rsid w:val="76296BDC"/>
    <w:rsid w:val="76524935"/>
    <w:rsid w:val="766D277C"/>
    <w:rsid w:val="76726D86"/>
    <w:rsid w:val="773F3B6C"/>
    <w:rsid w:val="77554FEC"/>
    <w:rsid w:val="77660A29"/>
    <w:rsid w:val="77A12513"/>
    <w:rsid w:val="794F076B"/>
    <w:rsid w:val="79541036"/>
    <w:rsid w:val="79E8523D"/>
    <w:rsid w:val="7B5829EE"/>
    <w:rsid w:val="7B95779E"/>
    <w:rsid w:val="7BF0749C"/>
    <w:rsid w:val="7CCB794F"/>
    <w:rsid w:val="7D225EC3"/>
    <w:rsid w:val="7D765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ind w:left="758" w:right="765"/>
      <w:outlineLvl w:val="0"/>
    </w:pPr>
    <w:rPr>
      <w:rFonts w:ascii="宋体" w:hAnsi="宋体" w:cs="宋体"/>
      <w:sz w:val="44"/>
      <w:szCs w:val="44"/>
      <w:lang w:val="zh-CN" w:bidi="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unhideWhenUsed/>
    <w:qFormat/>
    <w:uiPriority w:val="1"/>
    <w:pPr>
      <w:spacing w:after="120"/>
    </w:pPr>
  </w:style>
  <w:style w:type="paragraph" w:styleId="4">
    <w:name w:val="toc 3"/>
    <w:basedOn w:val="1"/>
    <w:next w:val="1"/>
    <w:semiHidden/>
    <w:unhideWhenUsed/>
    <w:qFormat/>
    <w:uiPriority w:val="39"/>
    <w:pPr>
      <w:ind w:left="840" w:leftChars="40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Hyperlink"/>
    <w:basedOn w:val="12"/>
    <w:semiHidden/>
    <w:unhideWhenUsed/>
    <w:qFormat/>
    <w:uiPriority w:val="99"/>
    <w:rPr>
      <w:color w:val="0000FF"/>
      <w:u w:val="single"/>
    </w:rPr>
  </w:style>
  <w:style w:type="character" w:customStyle="1" w:styleId="15">
    <w:name w:val="页眉 字符"/>
    <w:basedOn w:val="12"/>
    <w:link w:val="7"/>
    <w:qFormat/>
    <w:uiPriority w:val="99"/>
    <w:rPr>
      <w:rFonts w:ascii="Calibri" w:hAnsi="Calibri" w:eastAsia="宋体" w:cs="Times New Roman"/>
      <w:sz w:val="18"/>
      <w:szCs w:val="18"/>
    </w:rPr>
  </w:style>
  <w:style w:type="character" w:customStyle="1" w:styleId="16">
    <w:name w:val="页脚 字符"/>
    <w:basedOn w:val="12"/>
    <w:link w:val="6"/>
    <w:qFormat/>
    <w:uiPriority w:val="99"/>
    <w:rPr>
      <w:rFonts w:ascii="Calibri" w:hAnsi="Calibri" w:eastAsia="宋体" w:cs="Times New Roman"/>
      <w:sz w:val="18"/>
      <w:szCs w:val="18"/>
    </w:rPr>
  </w:style>
  <w:style w:type="character" w:customStyle="1" w:styleId="17">
    <w:name w:val="批注框文本 字符"/>
    <w:basedOn w:val="12"/>
    <w:link w:val="5"/>
    <w:semiHidden/>
    <w:qFormat/>
    <w:uiPriority w:val="99"/>
    <w:rPr>
      <w:rFonts w:ascii="Calibri" w:hAnsi="Calibri" w:eastAsia="宋体" w:cs="Times New Roman"/>
      <w:sz w:val="18"/>
      <w:szCs w:val="18"/>
    </w:rPr>
  </w:style>
  <w:style w:type="paragraph" w:customStyle="1" w:styleId="18">
    <w:name w:val="b"/>
    <w:basedOn w:val="1"/>
    <w:qFormat/>
    <w:uiPriority w:val="0"/>
    <w:pPr>
      <w:spacing w:line="360" w:lineRule="auto"/>
      <w:ind w:firstLine="200" w:firstLineChars="200"/>
    </w:pPr>
    <w:rPr>
      <w:rFonts w:ascii="Times New Roman" w:hAnsi="Times New Roman" w:eastAsia="华文行楷"/>
      <w:szCs w:val="24"/>
    </w:rPr>
  </w:style>
  <w:style w:type="character" w:customStyle="1" w:styleId="19">
    <w:name w:val="正文文本 字符"/>
    <w:basedOn w:val="12"/>
    <w:link w:val="3"/>
    <w:qFormat/>
    <w:uiPriority w:val="1"/>
    <w:rPr>
      <w:rFonts w:ascii="Calibri" w:hAnsi="Calibri" w:eastAsia="宋体" w:cs="Times New Roman"/>
    </w:rPr>
  </w:style>
  <w:style w:type="paragraph" w:styleId="20">
    <w:name w:val="List Paragraph"/>
    <w:basedOn w:val="1"/>
    <w:qFormat/>
    <w:uiPriority w:val="34"/>
    <w:pPr>
      <w:ind w:firstLine="420" w:firstLineChars="200"/>
    </w:pPr>
  </w:style>
  <w:style w:type="character" w:customStyle="1" w:styleId="21">
    <w:name w:val="font21"/>
    <w:basedOn w:val="12"/>
    <w:qFormat/>
    <w:uiPriority w:val="0"/>
    <w:rPr>
      <w:rFonts w:ascii="Calibri" w:hAnsi="Calibri" w:cs="Calibri"/>
      <w:color w:val="000000"/>
      <w:sz w:val="22"/>
      <w:szCs w:val="22"/>
      <w:u w:val="none"/>
    </w:rPr>
  </w:style>
  <w:style w:type="character" w:customStyle="1" w:styleId="22">
    <w:name w:val="font31"/>
    <w:basedOn w:val="12"/>
    <w:qFormat/>
    <w:uiPriority w:val="0"/>
    <w:rPr>
      <w:rFonts w:hint="eastAsia" w:ascii="宋体" w:hAnsi="宋体" w:eastAsia="宋体" w:cs="宋体"/>
      <w:color w:val="000000"/>
      <w:sz w:val="22"/>
      <w:szCs w:val="22"/>
      <w:u w:val="none"/>
    </w:rPr>
  </w:style>
  <w:style w:type="character" w:customStyle="1" w:styleId="23">
    <w:name w:val="font41"/>
    <w:basedOn w:val="12"/>
    <w:qFormat/>
    <w:uiPriority w:val="0"/>
    <w:rPr>
      <w:rFonts w:hint="eastAsia" w:ascii="宋体" w:hAnsi="宋体" w:eastAsia="宋体" w:cs="宋体"/>
      <w:color w:val="000000"/>
      <w:sz w:val="30"/>
      <w:szCs w:val="30"/>
      <w:u w:val="non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WPSOffice手动目录 3"/>
    <w:qFormat/>
    <w:uiPriority w:val="0"/>
    <w:pPr>
      <w:ind w:leftChars="400"/>
    </w:pPr>
    <w:rPr>
      <w:rFonts w:ascii="Times New Roman" w:hAnsi="Times New Roman" w:eastAsia="宋体" w:cs="Times New Roman"/>
      <w:sz w:val="20"/>
      <w:szCs w:val="20"/>
    </w:rPr>
  </w:style>
  <w:style w:type="character" w:customStyle="1" w:styleId="27">
    <w:name w:val="font11"/>
    <w:basedOn w:val="12"/>
    <w:qFormat/>
    <w:uiPriority w:val="0"/>
    <w:rPr>
      <w:rFonts w:hint="eastAsia" w:ascii="仿宋" w:hAnsi="仿宋" w:eastAsia="仿宋" w:cs="仿宋"/>
      <w:color w:val="000000"/>
      <w:sz w:val="22"/>
      <w:szCs w:val="22"/>
      <w:u w:val="none"/>
    </w:rPr>
  </w:style>
  <w:style w:type="character" w:customStyle="1" w:styleId="28">
    <w:name w:val="font71"/>
    <w:basedOn w:val="12"/>
    <w:qFormat/>
    <w:uiPriority w:val="0"/>
    <w:rPr>
      <w:rFonts w:hint="eastAsia" w:ascii="宋体" w:hAnsi="宋体" w:eastAsia="宋体" w:cs="宋体"/>
      <w:color w:val="000000"/>
      <w:sz w:val="20"/>
      <w:szCs w:val="20"/>
      <w:u w:val="none"/>
    </w:rPr>
  </w:style>
  <w:style w:type="character" w:customStyle="1" w:styleId="29">
    <w:name w:val="font6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6E856-85F1-4140-870C-932F9E89B555}">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22</Pages>
  <Words>11533</Words>
  <Characters>11852</Characters>
  <Lines>70</Lines>
  <Paragraphs>19</Paragraphs>
  <TotalTime>26</TotalTime>
  <ScaleCrop>false</ScaleCrop>
  <LinksUpToDate>false</LinksUpToDate>
  <CharactersWithSpaces>12315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2020-05-01T02:55:00Z</dcterms:created>
  <dc:creator>HP</dc:creator>
  <cp:lastModifiedBy>payson</cp:lastModifiedBy>
  <dcterms:modified xsi:type="dcterms:W3CDTF">2023-10-12T01:29:17Z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B574BF43E1BA4B108AFB897567076DED</vt:lpwstr>
  </property>
</Properties>
</file>